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/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876"/>
        <w:jc w:val="center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</w:t>
      </w:r>
      <w:r/>
    </w:p>
    <w:p>
      <w:pPr>
        <w:pStyle w:val="8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                                                                 №_________</w:t>
      </w:r>
      <w:r/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Биробиджан</w:t>
      </w:r>
      <w:r/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1" o:spid="_x0000_s1" style="position:absolute;left:0;text-align:left;z-index:524288;visibility:visible;" from="195.8pt,21.6pt" to="210.2pt,28.8pt" fillcolor="#FFFFFF" strokecolor="#000000">
                  <w10:wrap type="topAndBottom"/>
                </v:line>
                <v:line id="shape 2" o:spid="_x0000_s2" style="position:absolute;left:0;text-align:left;z-index:524288;visibility:visible;" from="195.8pt,21.6pt" to="210.2pt,28.8pt" fillcolor="#FFFFFF" strokecolor="#000000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8241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4" o:spid="_x0000_s4" style="position:absolute;left:0;text-align:left;z-index:251658241;visibility:visible;" from="23.0pt,21.6pt" to="37.4pt,28.8pt" fillcolor="#FFFFFF" strokecolor="#000000">
                  <w10:wrap type="topAndBottom"/>
                </v:line>
                <v:line id="shape 5" o:spid="_x0000_s5" style="position:absolute;left:0;text-align:left;z-index:251658241;visibility:visible;" from="23.0pt,21.6pt" to="37.4pt,28.8pt" fillcolor="#FFFFFF" strokecolor="#000000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дополнений в распоряжение правительства Еврейской автономной области от 03.11.2020 № 492-рп «Об утверждении Плана мероприятий («дорожной карты») по снижению доли населения с доходами ниже величины прожиточного минимума в Еврейской автономной области»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ind w:firstLine="720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распоряжение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авительства Еврейской автономной области от 03.11.2020 № 492-рп «Об утверждении Плана мероприятий («дорожной карты») по снижению доли населения с доходами ниже величины прожиточного минимума в Еврейской автономной области» следующие изменения и дополнения:</w:t>
      </w:r>
      <w:r/>
    </w:p>
    <w:p>
      <w:pPr>
        <w:pStyle w:val="876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Преамбулу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«на период до 2024 года» дополнить словами «и на плановый период до 2030 года».</w:t>
      </w:r>
      <w:r/>
    </w:p>
    <w:p>
      <w:pPr>
        <w:pStyle w:val="876"/>
        <w:ind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1.2.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 («дорожн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») по снижению доли населения с доходами ниже величины прожиточного минимума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вышеуказанным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распоряжением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1.2.1. Абзацы с первого по двадцать пятый заменить абзацами следующего содержания: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«П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 («дорожная карта») по снижению доли населения с доходами ниже величины прожиточного минимума в Еврейской автономной области (далее - План мероприятий) разработан в целях реализации Указа Президента Российской Федерации от 21.07.2020 № 474 «</w:t>
      </w:r>
      <w:r>
        <w:rPr>
          <w:rFonts w:ascii="Times New Roman" w:hAnsi="Times New Roman" w:cs="Times New Roman"/>
          <w:sz w:val="28"/>
          <w:szCs w:val="28"/>
        </w:rPr>
        <w:t xml:space="preserve">О национальных целях развития Российской Федерации на период до 2030 года» и Единого плана по достижению национальных целей развития Российской Федерации на период до 2024 года и на плановый период до 2030 года.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Целями Плана мероприятий являются: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1. Обеспечение устойчивого роста реальных располагаемых денежных доходов граждан.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 Снижение уровня бедности в два раза.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 рамках заявленной цели планируется реализовать следующие задачи: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1. Повышение уровня доходов граждан и повышение темпов роста доходов граждан, в том числе заработной платы, над темпом роста инфляции.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2. Снижение расходной части бюджета граждан, в том числе посредством развития системы социальной помощи гражданам, нуждающимся в социальной поддержке.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3. Развитие системы социального контракта.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4. Организация социальной адаптации граждан, нуждающихся в социальной поддержке.</w:t>
      </w:r>
      <w:r/>
    </w:p>
    <w:p>
      <w:pPr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Плана мероприятий осуществляется за счет бюджетных ассигнований областного и федерального бюджетов, предусмотренных следующими государственными программами Еврейской автономно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области (далее - область):</w:t>
      </w:r>
      <w:r>
        <w:rPr>
          <w:color w:val="auto"/>
        </w:rPr>
      </w:r>
      <w:r/>
    </w:p>
    <w:p>
      <w:pPr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«Формирование благоприятного инвестиционного климата на территории Еврейской автономной области» на 2019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2025 годы;</w:t>
      </w:r>
      <w:r>
        <w:rPr>
          <w:color w:val="auto"/>
        </w:rPr>
      </w:r>
      <w:r/>
    </w:p>
    <w:p>
      <w:pPr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«Содействие занятости населения и обеспечение безопасности труда» на 2020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2025 годы;</w:t>
      </w:r>
      <w:r>
        <w:rPr>
          <w:color w:val="auto"/>
        </w:rPr>
      </w:r>
      <w:r/>
    </w:p>
    <w:p>
      <w:pPr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«Социальная поддержка населения Еврейской автономной области» на 2020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2027 годы;</w:t>
      </w:r>
      <w:r>
        <w:rPr>
          <w:color w:val="auto"/>
        </w:rPr>
      </w:r>
      <w:r/>
    </w:p>
    <w:p>
      <w:pPr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«Социальное обслуживание населения Еврейской автономной области» на 2020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2024 годы;</w:t>
      </w:r>
      <w:r>
        <w:rPr>
          <w:color w:val="auto"/>
        </w:rPr>
      </w:r>
      <w:r/>
    </w:p>
    <w:p>
      <w:pPr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«Развитие сельского хозяйства и регулирование рынков сельскохозяйственной продукции, сырья, продовольствия в Еврейской автономной области» на 2020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2025 годы;</w:t>
      </w:r>
      <w:r>
        <w:rPr>
          <w:color w:val="auto"/>
        </w:rPr>
      </w:r>
      <w:r/>
    </w:p>
    <w:p>
      <w:pPr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«Развитие образования Еврейской автономной области» на 2018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2025 годы;</w:t>
      </w:r>
      <w:r>
        <w:rPr>
          <w:color w:val="auto"/>
        </w:rPr>
      </w:r>
      <w:r/>
    </w:p>
    <w:p>
      <w:pPr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«Развитие физической культуры и спорта в Еврейской автономной области» на 2016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2022 годы;</w:t>
      </w:r>
      <w:r>
        <w:rPr>
          <w:color w:val="auto"/>
        </w:rPr>
      </w:r>
      <w:r/>
    </w:p>
    <w:p>
      <w:pPr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«Здравоохранение в Еврейской автономной области» на 2016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2022 годы;</w:t>
      </w:r>
      <w:r>
        <w:rPr>
          <w:color w:val="auto"/>
        </w:rPr>
      </w:r>
      <w:r/>
    </w:p>
    <w:p>
      <w:pPr>
        <w:ind w:firstLine="708"/>
        <w:jc w:val="both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«Доступная среда в Еврейской автономной области» на 2014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ы;</w:t>
      </w:r>
      <w:r>
        <w:rPr>
          <w:color w:val="auto"/>
        </w:rPr>
      </w:r>
      <w:r/>
    </w:p>
    <w:p>
      <w:pPr>
        <w:pStyle w:val="876"/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системы социального обслуживания населен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ия Еврейской автономной области» на 2021 – 2024 годы;</w:t>
      </w:r>
      <w:r>
        <w:rPr>
          <w:color w:val="auto"/>
        </w:rPr>
      </w:r>
      <w:r/>
    </w:p>
    <w:p>
      <w:pPr>
        <w:pStyle w:val="876"/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системы социального обслуживания населен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ия Еврейской автономной области» на 2023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годы;</w:t>
      </w:r>
      <w:r>
        <w:rPr>
          <w:color w:val="auto"/>
        </w:rPr>
      </w:r>
      <w:r/>
    </w:p>
    <w:p>
      <w:pPr>
        <w:pStyle w:val="876"/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«Развитие физической культуры и спорта в Еврейской автономной области» на 2021 – 2026 годы;</w:t>
      </w:r>
      <w:r>
        <w:rPr>
          <w:color w:val="auto"/>
        </w:rPr>
      </w:r>
      <w:r/>
    </w:p>
    <w:p>
      <w:pPr>
        <w:pStyle w:val="876"/>
        <w:ind w:firstLine="708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«Здравоохранение в Еврейской автономной области» на 2022 –              2025  годы;</w:t>
      </w:r>
      <w:r>
        <w:rPr>
          <w:color w:val="auto"/>
        </w:rPr>
      </w:r>
      <w:r/>
    </w:p>
    <w:p>
      <w:pPr>
        <w:pStyle w:val="876"/>
        <w:ind w:firstLine="708"/>
        <w:jc w:val="both"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«Доступная среда в Еврейской автономной области» на 2023 –                2025 годы».</w:t>
      </w:r>
      <w:r>
        <w:rPr>
          <w:color w:val="auto"/>
        </w:rPr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включает 4 основных раздела: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 разделе 1 «Общая характеристика сферы социально-экономического развития области, ситуация с бедностью в целом и основные проблемы, связанные с преодолением бедности населения» отражены общая характеристика социально-экономического развития области, ситу</w:t>
      </w:r>
      <w:r>
        <w:rPr>
          <w:rFonts w:ascii="Times New Roman" w:hAnsi="Times New Roman" w:cs="Times New Roman"/>
          <w:sz w:val="28"/>
          <w:szCs w:val="28"/>
        </w:rPr>
        <w:t xml:space="preserve">ация с бедностью в целом и описание основных проблем, связанных с преодолением бедности населения в настоящее время;</w:t>
      </w:r>
      <w:r/>
    </w:p>
    <w:p>
      <w:pPr>
        <w:ind w:firstLine="708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- в разделе 2 «Целевые показатели (индикаторы) реализации Плана мероприятий» установлены целевые индикаторы (показатели) реализации Плана мероприятий;</w:t>
      </w:r>
      <w:r/>
    </w:p>
    <w:p>
      <w:pPr>
        <w:ind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 разделе 3 «Перечень мероприятий, сроки реализации и ожидаемые результаты выполнения мероприятий» представлены перечень мероприятий, направленных на достижение поставленных целей и задач, информация об исполнителях и соисполнителях мероприятий, а также с</w:t>
      </w:r>
      <w:r>
        <w:rPr>
          <w:rFonts w:ascii="Times New Roman" w:hAnsi="Times New Roman" w:cs="Times New Roman"/>
          <w:sz w:val="28"/>
          <w:szCs w:val="28"/>
        </w:rPr>
        <w:t xml:space="preserve">роки и ожидаемые результаты их реализации в количественном измерении с распределением по годам;</w:t>
      </w:r>
      <w:r/>
    </w:p>
    <w:p>
      <w:pPr>
        <w:ind w:left="0" w:firstLine="708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 разделе 4 «Методика оценки эффективности реализации Плана мероприятий» представлен алгоритм комплексной оценки эффективности реа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лизации Плана мероприятий, осуществляемый по итогам календарного года.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876"/>
        <w:ind w:firstLine="709"/>
        <w:jc w:val="both"/>
        <w:widowControl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Прогноз конечных результатов Плана мероприятий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снижение доли населения с доходами ниже величины прожиточного минимума в области до 10,2 процента к 2030 году.</w:t>
      </w:r>
      <w:r>
        <w:rPr>
          <w:color w:val="auto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Сроки реализации Плана мероприятий: 2020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2030 годы.</w:t>
      </w:r>
      <w:r>
        <w:rPr>
          <w:rFonts w:ascii="Times New Roman" w:hAnsi="Times New Roman" w:cs="Times New Roman"/>
          <w:color w:va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Общее методическое руководство работой по реализации Плана мероприятий осуществляет Министерство труда и социальной защиты Российской Федерации».</w:t>
      </w:r>
      <w:r/>
      <w:r/>
    </w:p>
    <w:p>
      <w:pPr>
        <w:pStyle w:val="876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разделе 1 «Общая характеристика сферы социально-экономического развития области, ситуация с бедностью в целом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основные проблемы, связанные с преодолением бедности населения»:</w:t>
      </w:r>
      <w:r/>
    </w:p>
    <w:p>
      <w:pPr>
        <w:pStyle w:val="876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одраздел 1.2. «Ситуация с бедностью в области» дополнить абзацами следующего содержания:</w:t>
      </w:r>
      <w:r/>
    </w:p>
    <w:p>
      <w:pPr>
        <w:pStyle w:val="893"/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едность населения определяется долей населения с доходами ниже величины прожиточного минимума. В области доля населения с доходами ниже величины прожиточного минимума имеет тенденцию к снижению, при этом остается выше среднероссийских значений на 9,4 – 8,4</w:t>
      </w:r>
      <w:r>
        <w:rPr>
          <w:sz w:val="28"/>
          <w:szCs w:val="28"/>
        </w:rPr>
        <w:t xml:space="preserve"> пунктов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2019 году доля населения с доходами ниже величины прожиточного миниму</w:t>
      </w:r>
      <w:r>
        <w:rPr>
          <w:sz w:val="28"/>
          <w:szCs w:val="28"/>
        </w:rPr>
        <w:t xml:space="preserve">ма при численности населения 159,1 тыс. человек составила 23,9 %, в 2020 году при численности населения 157,4 тыс. человек – 23,7 %. За пять лет численность населения с доходами ниже величины прожиточного минимума в области сократилась на 4,9 тыс. человек.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глубине бедности малоимущих семей (одиноко проживающих граждан) возможно ранжировать по трем группам:</w:t>
      </w:r>
      <w:r>
        <w:rPr>
          <w:sz w:val="28"/>
          <w:szCs w:val="28"/>
          <w:highlight w:val="none"/>
        </w:rPr>
      </w:r>
      <w:r/>
    </w:p>
    <w:p>
      <w:pPr>
        <w:pStyle w:val="893"/>
        <w:ind w:lef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очень бедные (среднедушевой доход не превышает 0,5 величины прожиточного минимума на душу населения, установленную в области);</w:t>
      </w:r>
      <w:r>
        <w:rPr>
          <w:sz w:val="28"/>
          <w:szCs w:val="28"/>
          <w:highlight w:val="none"/>
        </w:rPr>
      </w:r>
      <w:r/>
    </w:p>
    <w:p>
      <w:pPr>
        <w:pStyle w:val="893"/>
        <w:ind w:lef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бедные (</w:t>
      </w:r>
      <w:r>
        <w:rPr>
          <w:sz w:val="28"/>
          <w:szCs w:val="28"/>
          <w:highlight w:val="none"/>
        </w:rPr>
        <w:t xml:space="preserve">среднедушевой доход составляет от 0,5 до 0,8 величины прожиточного минимума на душу населения, установленную в области);</w:t>
      </w:r>
      <w:r>
        <w:rPr>
          <w:sz w:val="28"/>
          <w:szCs w:val="28"/>
          <w:highlight w:val="none"/>
        </w:rPr>
      </w:r>
      <w:r/>
    </w:p>
    <w:p>
      <w:pPr>
        <w:pStyle w:val="893"/>
        <w:ind w:lef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</w:t>
        <w:tab/>
        <w:t xml:space="preserve">умеренно бедные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среднедушевой доход составляет от 0,8 до 1 величины прожиточного минимума на душу населения, установленную в области);</w:t>
      </w:r>
      <w:r>
        <w:rPr>
          <w:sz w:val="28"/>
          <w:szCs w:val="28"/>
          <w:highlight w:val="none"/>
        </w:rPr>
      </w:r>
      <w:r/>
    </w:p>
    <w:p>
      <w:pPr>
        <w:pStyle w:val="89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целом в течение 2015 - 2020 годов наблюдается тенденция к постепенному снижению численности указанных групп малоимущих  граждан с разным уровнем дохода. 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Так,  численность «очень бедных» граждан снизилась  с 5,9 % от общей численности населения в 2015 году до 2,0% от общей численности населения в 2020 году.</w:t>
      </w:r>
      <w:r>
        <w:rPr>
          <w:sz w:val="28"/>
          <w:szCs w:val="28"/>
          <w:highlight w:val="none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Показатель численности «бедных» граждан соответственно снизился                          от 9,7 % в 2015 году до 5,4 % в 2020 году. Численность «умеренно бедных» граждан снизилась от 15,5 % в 2015 году до 11,5 % в 2020 году.</w:t>
      </w:r>
      <w:r>
        <w:rPr>
          <w:sz w:val="28"/>
          <w:szCs w:val="28"/>
          <w:highlight w:val="none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роста доходов населения прослеживается среди групп населения со среднедушевыми денежными доходами от 14 до 60 тыс. рублей.</w:t>
      </w:r>
      <w:r>
        <w:rPr>
          <w:sz w:val="28"/>
          <w:szCs w:val="28"/>
        </w:rPr>
        <w:t xml:space="preserve"> В 2020 году доля населения с указанными среднедушевыми доходами составляет 81,1 % от общей численности населения </w:t>
      </w:r>
      <w:r>
        <w:rPr>
          <w:sz w:val="28"/>
          <w:szCs w:val="28"/>
        </w:rPr>
        <w:t xml:space="preserve"> (2016 г. – 65,6 %).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Доходами свыше 60 тыс. рублей обеспечено более 14 % населения области. При этом в регионе отмечается рост доли населения с высоким уровнем доходов  – от 60 до 100 тысяч рублей и более (2016 г. – </w:t>
      </w:r>
      <w:r>
        <w:rPr>
          <w:sz w:val="28"/>
          <w:szCs w:val="28"/>
        </w:rPr>
        <w:t xml:space="preserve">4,0</w:t>
      </w:r>
      <w:r>
        <w:rPr>
          <w:sz w:val="28"/>
          <w:szCs w:val="28"/>
        </w:rPr>
        <w:t xml:space="preserve"> %).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населения области (около 25,4 %) имеет среднедушевые доходы от 27 до 45 тыс. рублей, или от 1,8 до 2,9 величины прожиточного минимума, установленного </w:t>
      </w:r>
      <w:r>
        <w:rPr>
          <w:sz w:val="28"/>
          <w:szCs w:val="28"/>
        </w:rPr>
        <w:t xml:space="preserve">в области.</w:t>
      </w:r>
      <w:r/>
    </w:p>
    <w:p>
      <w:pPr>
        <w:pStyle w:val="89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 этом в 2020 году </w:t>
      </w:r>
      <w:r>
        <w:rPr>
          <w:sz w:val="28"/>
          <w:szCs w:val="28"/>
        </w:rPr>
        <w:t xml:space="preserve">на пятую часть наиболее обеспеченного  населения области приходилось 40,3 % от общего объема денежных доходов, а на  20 процентов населения с самыми низкими доходами – 7,4 % об объема доходов.</w:t>
      </w:r>
      <w:r>
        <w:rPr>
          <w:sz w:val="28"/>
          <w:szCs w:val="28"/>
          <w:highlight w:val="none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Коэффициент Джини </w:t>
      </w:r>
      <w:r>
        <w:rPr>
          <w:sz w:val="28"/>
          <w:szCs w:val="28"/>
        </w:rPr>
        <w:t xml:space="preserve">(индекс концентрации доходов), характеризующий степень отклонения линии фактического распределения общего объема доходов населения от линии их равномерного распределения, состави</w:t>
      </w:r>
      <w:r>
        <w:rPr>
          <w:sz w:val="28"/>
          <w:szCs w:val="28"/>
        </w:rPr>
        <w:t xml:space="preserve">л 0,327.  Величина коэффициента может</w:t>
      </w:r>
      <w:r>
        <w:rPr>
          <w:sz w:val="28"/>
          <w:szCs w:val="28"/>
        </w:rPr>
        <w:t xml:space="preserve"> варьироваться от 0 до 1, при этом чем выше значение показателя, тем более неравномерно распределены доходы, в целом по в Российской Федерации  коэффициент Джини составил  0,406. Значение данного показателя незначительно снизилось относительно уровня 2016 </w:t>
      </w:r>
      <w:r>
        <w:rPr>
          <w:sz w:val="28"/>
          <w:szCs w:val="28"/>
        </w:rPr>
        <w:t xml:space="preserve">года (0,348).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иент фондов (коэффициент дифференциации доходов), характеризующий степень социального расслоения и рассчитываемый как соотношение между средними уровнями денежных доходов (10 процентов населения с самыми высокими доходами и 10 процентов населения с самыми </w:t>
      </w:r>
      <w:r>
        <w:rPr>
          <w:sz w:val="28"/>
          <w:szCs w:val="28"/>
        </w:rPr>
        <w:t xml:space="preserve">низкими доходами), составил </w:t>
      </w:r>
      <w:r>
        <w:rPr>
          <w:sz w:val="28"/>
          <w:szCs w:val="28"/>
        </w:rPr>
        <w:t xml:space="preserve">8,5</w:t>
      </w:r>
      <w:r>
        <w:rPr>
          <w:sz w:val="28"/>
          <w:szCs w:val="28"/>
        </w:rPr>
        <w:t xml:space="preserve"> раза (в целом по Российской Федерации – 14,8 раза). При этом в области сохраняется устойчивая динамика снижения данного показателя с 2016 года.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3"/>
        <w:jc w:val="center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Характеристика малоимущего населения по месту проживания,</w:t>
      </w:r>
      <w:r>
        <w:rPr>
          <w:b w:val="0"/>
          <w:bCs w:val="0"/>
        </w:rPr>
      </w:r>
      <w:r/>
    </w:p>
    <w:p>
      <w:pPr>
        <w:pStyle w:val="893"/>
        <w:jc w:val="center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возрастным группам, отношению к занятости</w:t>
      </w:r>
      <w:r>
        <w:rPr>
          <w:b w:val="0"/>
          <w:bCs w:val="0"/>
        </w:rPr>
      </w:r>
      <w:r/>
    </w:p>
    <w:p>
      <w:pPr>
        <w:pStyle w:val="893"/>
        <w:jc w:val="center"/>
        <w:rPr>
          <w:szCs w:val="22"/>
        </w:rPr>
      </w:pPr>
      <w:r>
        <w:rPr>
          <w:szCs w:val="22"/>
        </w:rPr>
        <w:t xml:space="preserve">(по итогам выборочного наблюдения доходов населения и участия в социальных программах</w:t>
      </w:r>
      <w:r>
        <w:rPr>
          <w:szCs w:val="22"/>
        </w:rPr>
        <w:t xml:space="preserve"> </w:t>
      </w:r>
      <w:r>
        <w:rPr>
          <w:szCs w:val="22"/>
        </w:rPr>
        <w:t xml:space="preserve">за 2019 год)  </w:t>
      </w:r>
      <w:r/>
    </w:p>
    <w:p>
      <w:pPr>
        <w:pStyle w:val="893"/>
        <w:jc w:val="both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571"/>
        <w:gridCol w:w="1847"/>
      </w:tblGrid>
      <w:tr>
        <w:trPr/>
        <w:tc>
          <w:tcPr>
            <w:tcW w:w="7571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показателей</w:t>
            </w:r>
            <w:r/>
          </w:p>
        </w:tc>
        <w:tc>
          <w:tcPr>
            <w:tcW w:w="1847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Проценты</w:t>
            </w:r>
            <w:r/>
          </w:p>
        </w:tc>
      </w:tr>
      <w:tr>
        <w:trPr/>
        <w:tc>
          <w:tcPr>
            <w:tcW w:w="7571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Малоимущее населе</w:t>
            </w:r>
            <w:r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всего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</w:r>
            <w:r/>
          </w:p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в том числе: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</w:t>
            </w:r>
            <w:r/>
          </w:p>
        </w:tc>
      </w:tr>
      <w:tr>
        <w:trPr/>
        <w:tc>
          <w:tcPr>
            <w:tcW w:w="7571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а) по месту проживания: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41,5</w:t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tcW w:w="7571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в городских населенных пунктах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41,5</w:t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tcW w:w="7571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в сельских населенных пунктах 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58,5</w:t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tcW w:w="7571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б) по возрастным группам: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571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дети в возрасте до 16 лет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  <w:t xml:space="preserve">2,0</w:t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tcW w:w="7571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население трудоспособного возраста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57,</w:t>
            </w: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/>
          </w:p>
        </w:tc>
      </w:tr>
      <w:tr>
        <w:trPr>
          <w:trHeight w:val="15"/>
        </w:trPr>
        <w:tc>
          <w:tcPr>
            <w:tcW w:w="7571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население старше трудоспособного возраста 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10,5</w:t>
            </w:r>
            <w:r>
              <w:rPr>
                <w:szCs w:val="24"/>
              </w:rPr>
            </w:r>
            <w:r/>
          </w:p>
        </w:tc>
      </w:tr>
      <w:tr>
        <w:trPr>
          <w:trHeight w:val="15"/>
        </w:trPr>
        <w:tc>
          <w:tcPr>
            <w:tcW w:w="7571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  <w:t xml:space="preserve">в) по отношению к занятости: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</w:tr>
      <w:tr>
        <w:trPr>
          <w:trHeight w:val="15"/>
        </w:trPr>
        <w:tc>
          <w:tcPr>
            <w:tcW w:w="7571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занятые в экономике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47,3</w:t>
            </w:r>
            <w:r>
              <w:rPr>
                <w:szCs w:val="24"/>
              </w:rPr>
            </w:r>
            <w:r/>
          </w:p>
        </w:tc>
      </w:tr>
      <w:tr>
        <w:trPr>
          <w:trHeight w:val="15"/>
        </w:trPr>
        <w:tc>
          <w:tcPr>
            <w:tcW w:w="7571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незанятые в экономике</w:t>
            </w:r>
            <w:r>
              <w:rPr>
                <w:szCs w:val="24"/>
              </w:rPr>
            </w:r>
            <w:r/>
          </w:p>
        </w:tc>
        <w:tc>
          <w:tcPr>
            <w:tcW w:w="1847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52,7</w:t>
            </w:r>
            <w:r>
              <w:rPr>
                <w:szCs w:val="24"/>
              </w:rPr>
            </w:r>
            <w:r/>
          </w:p>
        </w:tc>
      </w:tr>
    </w:tbl>
    <w:p>
      <w:pPr>
        <w:pStyle w:val="893"/>
        <w:ind w:firstLine="540"/>
        <w:jc w:val="both"/>
      </w:pPr>
      <w:r/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</w:t>
      </w:r>
      <w:r>
        <w:rPr>
          <w:color w:val="auto"/>
          <w:sz w:val="28"/>
          <w:szCs w:val="28"/>
        </w:rPr>
        <w:t xml:space="preserve">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</w:rPr>
        <w:t xml:space="preserve">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распределении малоимущ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населения по </w:t>
      </w:r>
      <w:r>
        <w:rPr>
          <w:rFonts w:ascii="Times New Roman" w:hAnsi="Times New Roman" w:cs="Times New Roman"/>
          <w:sz w:val="28"/>
          <w:szCs w:val="28"/>
        </w:rPr>
        <w:t xml:space="preserve">итогам выборочного наб</w:t>
      </w:r>
      <w:r>
        <w:rPr>
          <w:sz w:val="28"/>
          <w:szCs w:val="28"/>
        </w:rPr>
        <w:t xml:space="preserve">людения доходов населения и участи</w:t>
      </w:r>
      <w:r>
        <w:rPr>
          <w:sz w:val="28"/>
          <w:szCs w:val="28"/>
        </w:rPr>
        <w:t xml:space="preserve">я в социальных программах, в 2019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в сельских населенных пунктах прожива</w:t>
      </w:r>
      <w:r>
        <w:rPr>
          <w:sz w:val="28"/>
          <w:szCs w:val="28"/>
        </w:rPr>
        <w:t xml:space="preserve">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58,5 </w:t>
      </w:r>
      <w:r>
        <w:rPr>
          <w:sz w:val="28"/>
          <w:szCs w:val="28"/>
        </w:rPr>
        <w:t xml:space="preserve">% малоимущего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аселения, в городских населенных пунктах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41,5</w:t>
      </w:r>
      <w:r>
        <w:rPr>
          <w:sz w:val="28"/>
          <w:szCs w:val="28"/>
        </w:rPr>
        <w:t xml:space="preserve">%.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малоимущего населения составляют граждане  трудоспособного возраста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57,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%, дети в возрасте до 16 лет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2,0 </w:t>
      </w:r>
      <w:r>
        <w:rPr>
          <w:sz w:val="28"/>
          <w:szCs w:val="28"/>
        </w:rPr>
        <w:t xml:space="preserve">%, граждане старше трудоспособного возраста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10,5 </w:t>
      </w:r>
      <w:r>
        <w:rPr>
          <w:sz w:val="28"/>
          <w:szCs w:val="28"/>
        </w:rPr>
        <w:t xml:space="preserve">%. По критерию занятости населения </w:t>
      </w:r>
      <w:r>
        <w:rPr>
          <w:sz w:val="28"/>
          <w:szCs w:val="28"/>
        </w:rPr>
        <w:t xml:space="preserve">52,7 </w:t>
      </w:r>
      <w:r>
        <w:rPr>
          <w:sz w:val="28"/>
          <w:szCs w:val="28"/>
        </w:rPr>
        <w:t xml:space="preserve">% малоимущего населения не занято в экономике, </w:t>
      </w:r>
      <w:r>
        <w:rPr>
          <w:sz w:val="28"/>
          <w:szCs w:val="28"/>
        </w:rPr>
        <w:t xml:space="preserve">47,3 </w:t>
      </w:r>
      <w:r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занято.</w:t>
      </w:r>
      <w:r/>
    </w:p>
    <w:p>
      <w:pPr>
        <w:pStyle w:val="89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особую значимость имеет относительно высокая доля сельского населения, которое, как показывает  практика, всегда отличается более низкими доходами по сравнению с городским населением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93"/>
        <w:jc w:val="center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Уровень и структура совокупного дохода домашних хозяйств</w:t>
      </w:r>
      <w:r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 xml:space="preserve">в 2018 году по типу населенных пунктов в среднем на члена</w:t>
      </w:r>
      <w:r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 xml:space="preserve">домохозяйства, в месяц, рублей</w:t>
      </w:r>
      <w:r>
        <w:rPr>
          <w:b w:val="0"/>
          <w:bCs w:val="0"/>
        </w:rPr>
      </w:r>
      <w:r/>
    </w:p>
    <w:p>
      <w:pPr>
        <w:pStyle w:val="893"/>
        <w:jc w:val="center"/>
        <w:rPr>
          <w:b w:val="0"/>
          <w:bCs w:val="0"/>
          <w:szCs w:val="24"/>
        </w:rPr>
      </w:pPr>
      <w:r>
        <w:rPr>
          <w:b w:val="0"/>
          <w:bCs w:val="0"/>
          <w:szCs w:val="24"/>
        </w:rPr>
      </w:r>
      <w:r>
        <w:rPr>
          <w:b w:val="0"/>
          <w:bCs w:val="0"/>
        </w:rPr>
      </w:r>
      <w:r/>
    </w:p>
    <w:tbl>
      <w:tblPr>
        <w:tblW w:w="91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3368"/>
        <w:gridCol w:w="1384"/>
        <w:gridCol w:w="977"/>
        <w:gridCol w:w="1384"/>
        <w:gridCol w:w="977"/>
      </w:tblGrid>
      <w:tr>
        <w:trPr>
          <w:cantSplit/>
        </w:trPr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п/п</w:t>
            </w:r>
            <w:r>
              <w:rPr>
                <w:b w:val="0"/>
                <w:bCs w:val="0"/>
              </w:rPr>
            </w:r>
            <w:r/>
          </w:p>
          <w:p>
            <w:pPr>
              <w:pStyle w:val="893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W w:w="3368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Распределение доходов</w:t>
            </w:r>
            <w:r>
              <w:rPr>
                <w:b w:val="0"/>
                <w:bCs w:val="0"/>
              </w:rPr>
            </w:r>
            <w:r/>
          </w:p>
          <w:p>
            <w:pPr>
              <w:pStyle w:val="89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  <w:r/>
          </w:p>
        </w:tc>
        <w:tc>
          <w:tcPr>
            <w:gridSpan w:val="2"/>
            <w:tcW w:w="2361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Сельские населенные пункты</w:t>
            </w:r>
            <w:r>
              <w:rPr>
                <w:b w:val="0"/>
                <w:bCs w:val="0"/>
              </w:rPr>
            </w:r>
            <w:r/>
          </w:p>
        </w:tc>
        <w:tc>
          <w:tcPr>
            <w:gridSpan w:val="2"/>
            <w:tcW w:w="2361" w:type="dxa"/>
            <w:vAlign w:val="top"/>
            <w:textDirection w:val="lrTb"/>
            <w:noWrap w:val="false"/>
          </w:tcPr>
          <w:p>
            <w:pPr>
              <w:pStyle w:val="893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Городские населенные пункты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cantSplit/>
        </w:trPr>
        <w:tc>
          <w:tcPr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6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рублей в месяц</w:t>
            </w:r>
            <w:r/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%</w:t>
            </w:r>
            <w:r/>
          </w:p>
        </w:tc>
        <w:tc>
          <w:tcPr>
            <w:tcW w:w="1384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рублей в месяц</w:t>
            </w:r>
            <w:r/>
          </w:p>
        </w:tc>
        <w:tc>
          <w:tcPr>
            <w:tcW w:w="977" w:type="dxa"/>
            <w:vAlign w:val="center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%</w:t>
            </w:r>
            <w:r/>
          </w:p>
        </w:tc>
      </w:tr>
      <w:tr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3"/>
            </w:pPr>
            <w:r>
              <w:t xml:space="preserve">1</w:t>
            </w:r>
            <w:r/>
          </w:p>
        </w:tc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Совокупный доход - всего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20 146,6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24 541,2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</w:t>
            </w:r>
            <w:r/>
          </w:p>
        </w:tc>
      </w:tr>
      <w:tr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3"/>
            </w:pPr>
            <w:r/>
            <w:r/>
          </w:p>
        </w:tc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в том числе: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93"/>
              <w:jc w:val="center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3"/>
            </w:pPr>
            <w:r>
              <w:t xml:space="preserve">1.1</w:t>
            </w:r>
            <w:r/>
          </w:p>
        </w:tc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доход от трудовой деятельности – всего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14 426,7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71,6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18 614,2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75,8</w:t>
            </w:r>
            <w:r/>
          </w:p>
        </w:tc>
      </w:tr>
      <w:tr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3"/>
            </w:pPr>
            <w:r>
              <w:t xml:space="preserve">1.2</w:t>
            </w:r>
            <w:r/>
          </w:p>
        </w:tc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доход от собственности – всего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2,8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66,6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0,3</w:t>
            </w:r>
            <w:r/>
          </w:p>
        </w:tc>
      </w:tr>
      <w:tr>
        <w:trPr/>
        <w:tc>
          <w:tcPr>
            <w:tcW w:w="11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полученные – всего 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5 717,1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28,4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5 860,4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23,9</w:t>
            </w:r>
            <w:r/>
          </w:p>
        </w:tc>
      </w:tr>
      <w:tr>
        <w:trPr/>
        <w:tc>
          <w:tcPr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 них: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7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5 317,6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26,4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5 531,8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22,5</w:t>
            </w:r>
            <w:r/>
          </w:p>
        </w:tc>
      </w:tr>
      <w:tr>
        <w:trPr/>
        <w:tc>
          <w:tcPr>
            <w:tcW w:w="11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11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7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4 113,9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20,4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4 383,9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17,9</w:t>
            </w:r>
            <w:r/>
          </w:p>
        </w:tc>
      </w:tr>
      <w:tr>
        <w:trPr/>
        <w:tc>
          <w:tcPr>
            <w:tcW w:w="11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7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пособия, компенсации и иные социальные выплаты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1 203,6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6,0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1 147,9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4,7</w:t>
            </w:r>
            <w:r/>
          </w:p>
        </w:tc>
      </w:tr>
      <w:tr>
        <w:trPr/>
        <w:tc>
          <w:tcPr>
            <w:tcW w:w="11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денежные поступления от частных лиц и организаций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399,5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2,0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328,6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1,3</w:t>
            </w:r>
            <w:r/>
          </w:p>
        </w:tc>
      </w:tr>
      <w:tr>
        <w:trPr/>
        <w:tc>
          <w:tcPr>
            <w:tcW w:w="11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переданные – всего 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2 006,0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2 137,0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8,7</w:t>
            </w:r>
            <w:r/>
          </w:p>
        </w:tc>
      </w:tr>
      <w:tr>
        <w:trPr/>
        <w:tc>
          <w:tcPr>
            <w:tcW w:w="11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добровольные трансферты  другим домохозяйствам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371,4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1,8</w:t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164,9</w:t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</w:t>
            </w:r>
            <w:r/>
          </w:p>
        </w:tc>
      </w:tr>
      <w:tr>
        <w:trPr/>
        <w:tc>
          <w:tcPr>
            <w:tcW w:w="11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Располагаемый денежный доход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(совокупный доход за исключением трансфертов переданных)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18 140,6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384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22 404,2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77" w:type="dxa"/>
            <w:vAlign w:val="bottom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91,3</w:t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pStyle w:val="893"/>
        <w:jc w:val="center"/>
        <w:rPr>
          <w:b/>
          <w:szCs w:val="24"/>
        </w:rPr>
      </w:pPr>
      <w:r>
        <w:rPr>
          <w:b/>
          <w:szCs w:val="24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опроса, доходы сельских жителей заметно уступают городским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18 %.</w:t>
      </w:r>
      <w:r>
        <w:rPr>
          <w:sz w:val="28"/>
          <w:szCs w:val="28"/>
        </w:rPr>
        <w:t xml:space="preserve"> Это вызвано прежде всего более низким уровнем дохода от трудовой деятельности 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23 %</w:t>
      </w:r>
      <w:r>
        <w:rPr>
          <w:sz w:val="28"/>
          <w:szCs w:val="28"/>
        </w:rPr>
        <w:t xml:space="preserve"> ниже уровня доходов горожан. Относительно низкий уровень своих доходов проживающие в сельской местности пытаются компенсировать поступлениями от самостоятельной занятости и прежде всего – от продажи сельскохозяйственной продукции.</w:t>
      </w:r>
      <w:r/>
    </w:p>
    <w:p>
      <w:pPr>
        <w:pStyle w:val="893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Уровень пенсионного обеспечения сельских жителей </w:t>
      </w:r>
      <w:r>
        <w:rPr>
          <w:sz w:val="28"/>
          <w:szCs w:val="28"/>
        </w:rPr>
        <w:t xml:space="preserve">в процентном отношении составляет пятую часть их доходов</w:t>
      </w:r>
      <w:r>
        <w:rPr>
          <w:sz w:val="28"/>
          <w:szCs w:val="28"/>
        </w:rPr>
        <w:t xml:space="preserve"> и превышает уровень аналогичного обеспечения городского населения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  <w:t xml:space="preserve">Несмотря на более высокую степень нуждаемости сельских жителей, объем получаемых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ими</w:t>
      </w:r>
      <w:r>
        <w:rPr>
          <w:sz w:val="28"/>
          <w:szCs w:val="28"/>
          <w:highlight w:val="none"/>
        </w:rPr>
        <w:t xml:space="preserve"> социальных выплат ниже объема социальной поддержки, получаемой  городскими жителями, что свидетельствует о недостаточной адресности.</w:t>
      </w:r>
      <w:r>
        <w:rPr>
          <w:highlight w:val="none"/>
        </w:rPr>
      </w:r>
      <w:r/>
    </w:p>
    <w:p>
      <w:pPr>
        <w:pStyle w:val="878"/>
        <w:ind w:firstLine="720"/>
        <w:jc w:val="both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  <w:t xml:space="preserve">Органами социальной защиты населения области совместно с иными </w:t>
      </w:r>
      <w:r>
        <w:rPr>
          <w:b w:val="0"/>
          <w:sz w:val="28"/>
          <w:szCs w:val="28"/>
        </w:rPr>
        <w:t xml:space="preserve"> органами исполнительной власти области</w:t>
      </w:r>
      <w:r>
        <w:rPr>
          <w:b w:val="0"/>
          <w:sz w:val="28"/>
          <w:szCs w:val="28"/>
        </w:rPr>
        <w:t xml:space="preserve">, формируемыми правительством области,</w:t>
      </w:r>
      <w:r>
        <w:rPr>
          <w:b w:val="0"/>
          <w:sz w:val="28"/>
          <w:szCs w:val="28"/>
        </w:rPr>
        <w:t xml:space="preserve"> в июле 2019 года путем анкетирования граждан проведен мониторинг по оценке уровня и структуры бедности. Охват анкетированием составил более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1 500 человек, проживающих на территории области.</w:t>
      </w:r>
      <w:r/>
    </w:p>
    <w:p>
      <w:pPr>
        <w:pStyle w:val="876"/>
        <w:ind w:firstLine="720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выявлено, что бедными себя считают 45,1% опрошенных. Средний уровень дохода имеют 54,5% опрошенных, из них 76 %  трудоустроены и работают официально, 20 %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безработные.  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проблемам семьи, влияющим на ее благосостояние, опрошенные граждане отнесли: стоимость горюче-смазочных материалов и жилищно-коммунальных услуг – 35,6%, низкий уровень оплаты труда – 31,6%, наличие долговых и кредитных обязательств – 14,8%.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48,6% опрошенных отметили, что на сегодняшний </w:t>
        <w:br w:type="textWrapping" w:clear="all"/>
        <w:t xml:space="preserve">день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могут  улучшить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финансовое положение </w:t>
      </w:r>
      <w:r>
        <w:rPr>
          <w:rFonts w:ascii="Times New Roman" w:hAnsi="Times New Roman" w:cs="Times New Roman"/>
          <w:sz w:val="28"/>
          <w:szCs w:val="28"/>
        </w:rPr>
        <w:t xml:space="preserve">без поддержки со стороны 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а 17,0% опрошенных в качестве способа </w:t>
      </w:r>
      <w:r>
        <w:rPr>
          <w:rFonts w:ascii="Times New Roman" w:hAnsi="Times New Roman" w:cs="Times New Roman"/>
          <w:sz w:val="28"/>
          <w:szCs w:val="28"/>
        </w:rPr>
        <w:t xml:space="preserve">улучшения своего благосостояния </w:t>
      </w:r>
      <w:r>
        <w:rPr>
          <w:rFonts w:ascii="Times New Roman" w:hAnsi="Times New Roman" w:cs="Times New Roman"/>
          <w:sz w:val="28"/>
          <w:szCs w:val="28"/>
        </w:rPr>
        <w:t xml:space="preserve">видят поиск дополнительного заработка. 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Негативными факторами, препятствующими достижению национальной цели </w:t>
      </w:r>
      <w:r>
        <w:rPr>
          <w:rFonts w:ascii="Times New Roman" w:hAnsi="Times New Roman" w:cs="Times New Roman"/>
          <w:sz w:val="28"/>
          <w:szCs w:val="28"/>
        </w:rPr>
        <w:t xml:space="preserve"> по снижению уровня бедности в два раза к 2030 году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области в настоящее время являются: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незначительное количество промышленных предприятий, что препятствует возможности трудоустройства и повышения уровня доходов граждан;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«серая» заработная плата и «теневая» занятость (без оформления трудовых отношений);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преобладание </w:t>
      </w:r>
      <w:r>
        <w:rPr>
          <w:rFonts w:ascii="Times New Roman" w:hAnsi="Times New Roman" w:cs="Times New Roman"/>
          <w:sz w:val="28"/>
          <w:szCs w:val="28"/>
        </w:rPr>
        <w:t xml:space="preserve">в структуре экономики области неналогоемки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отрас</w:t>
      </w:r>
      <w:r>
        <w:rPr>
          <w:rFonts w:ascii="Times New Roman" w:hAnsi="Times New Roman" w:cs="Times New Roman"/>
          <w:sz w:val="28"/>
          <w:szCs w:val="28"/>
        </w:rPr>
        <w:t xml:space="preserve">лей</w:t>
      </w:r>
      <w:r>
        <w:rPr>
          <w:rFonts w:ascii="Times New Roman" w:hAnsi="Times New Roman" w:cs="Times New Roman"/>
          <w:sz w:val="28"/>
          <w:szCs w:val="28"/>
        </w:rPr>
        <w:t xml:space="preserve">  (потребительский рынок, сельское хозяйство, малое предпринимательство), что влияет на наполнение доходной части областного бюджета и не позволяет в полной мере реализовать объективно растущие расходы, в том числе в социальной сфере.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уровня бедности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денежных доходов населения, на территории области принимаются следующие меры: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По повышению оплаты труда: 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реализация трехстороннего Соглашения между правительством Еврейской автономной области, Федерацией профсоюзов ЕАО и Региональным объединением работодателей ЕАО «Союз промышленников и предпринимателей» на 2018 - 2020 годы;</w:t>
      </w:r>
      <w:r>
        <w:rPr>
          <w:highlight w:val="none"/>
        </w:rPr>
      </w:r>
      <w:r/>
    </w:p>
    <w:p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- реализация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оглашения между правительством Еврейской автономной области и органами местного самоуправления муниципальных районов и городского округа Еврейской автономной области, Федерацией профсоюзов Еврейской автономной области, Региональным объединением работодател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ей Еврейской автономной области «Союз промышленников и предпринимателей» на 2021 - 2023 годы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соглашения, заключенного 6 мая 2015 года между Федеральной службой по труду и занятости и губернатором области, органами исполнительной власти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формируемыми правительством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местного самоуправления администраций муниципальных образований области по выявлению неформально занятых работников и заключению с ними трудовых договоров;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рассмотрение вопросов о принимаемых 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по пог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ашению задолженности по выплате заработной плате работникам организаций всех форм собственности и снижению неформальной занятости на заседаниях областных и муниципальных межведомственных комиссий по вопросам оплаты труда и снижения неформальной занятости; 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доведения уровня заработной платы до величины минимального размера оплаты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финансовое обеспечение индексации заработной платы работников бюджетной сферы.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 повышению эффективности производства и развитию регионального рынка труда: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рассмотрение на Инвестиционном совете Еврейской автономной области инвестиционных проектов, претендующих на получение мер государственной поддержки;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содействия сохранению и созданию новых рабочих мест, в том числе высокопроизводительных.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 развитию малого и среднего предпринимательства и повышению доходов работников субъектов малого и среднего предпринимательстве: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мероприятий государственной поддержки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сохранения имеющихся и создания новых рабочих мест;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государственной поддержки начинающим фермерам, на развитие семейных животноводческих ферм, на развитие материально-техни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ческой базы сельскохозяйственных потребительских кооперативов.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Повышение реальных денежных доходов отдельных категорий граждан и семей, имеющих детей (меры социальной поддержки):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мер социальной поддержки населению области в соответствии с федеральным и областным законодательством;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финансовое обеспечение индексации мер социальной поддержки отдельным категориям граждан (семей, детей).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По социальному развитию области: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мероприятий Плана социального развития центров экономического роста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области от 22.06.2018 № 209-рп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«Об утверждении Плана социального развития центров экономического роста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целью обеспечения комфортных условий проживания населения, доступности услуг учреждений социальной сферы, увеличения численности населения и трудовых ресурсов в центрах экономического роста области;</w:t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национальных проектов 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                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7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подраздел 1.3. «</w:t>
      </w:r>
      <w:r>
        <w:rPr>
          <w:rFonts w:ascii="Times New Roman" w:hAnsi="Times New Roman" w:cs="Times New Roman"/>
          <w:sz w:val="28"/>
          <w:szCs w:val="28"/>
        </w:rPr>
        <w:t xml:space="preserve">Меры социальной поддержки, оказываемые в области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абзацами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 учетом действующих экономических условий </w:t>
      </w:r>
      <w:r>
        <w:rPr>
          <w:sz w:val="28"/>
          <w:szCs w:val="28"/>
        </w:rPr>
        <w:t xml:space="preserve">можно выделить </w:t>
      </w:r>
      <w:r>
        <w:rPr>
          <w:sz w:val="28"/>
          <w:szCs w:val="28"/>
        </w:rPr>
        <w:t xml:space="preserve">категории граждан, ко</w:t>
      </w:r>
      <w:r>
        <w:rPr>
          <w:sz w:val="28"/>
          <w:szCs w:val="28"/>
        </w:rPr>
        <w:t xml:space="preserve">торые </w:t>
      </w:r>
      <w:r>
        <w:rPr>
          <w:sz w:val="28"/>
          <w:szCs w:val="28"/>
        </w:rPr>
        <w:t xml:space="preserve">в соответствии с действующим 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могут быть отнесены к «</w:t>
      </w:r>
      <w:r>
        <w:rPr>
          <w:sz w:val="28"/>
          <w:szCs w:val="28"/>
        </w:rPr>
        <w:t xml:space="preserve">бедному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населению по причине превышения доходов над величиной прожиточного минимума, </w:t>
      </w:r>
      <w:r>
        <w:rPr>
          <w:sz w:val="28"/>
          <w:szCs w:val="28"/>
        </w:rPr>
        <w:t xml:space="preserve"> даже если они считают себя таковыми</w:t>
      </w:r>
      <w:r>
        <w:rPr>
          <w:sz w:val="28"/>
          <w:szCs w:val="28"/>
        </w:rPr>
        <w:t xml:space="preserve">: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работающие граждане</w:t>
      </w:r>
      <w:r>
        <w:rPr>
          <w:sz w:val="28"/>
          <w:szCs w:val="28"/>
        </w:rPr>
        <w:t xml:space="preserve"> (в том числе вышедшие на пенсию)</w:t>
      </w:r>
      <w:r>
        <w:rPr>
          <w:sz w:val="28"/>
          <w:szCs w:val="28"/>
        </w:rPr>
        <w:t xml:space="preserve">, получающие заработную плату за свою деятельность</w:t>
      </w:r>
      <w:r>
        <w:rPr>
          <w:sz w:val="28"/>
          <w:szCs w:val="28"/>
        </w:rPr>
        <w:t xml:space="preserve"> и не имеющие «иждивенческой» нагрузки</w:t>
      </w:r>
      <w:r>
        <w:rPr>
          <w:sz w:val="28"/>
          <w:szCs w:val="28"/>
        </w:rPr>
        <w:t xml:space="preserve">;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граждане старше трудоспособного возраста, получающие пенсионное обеспечение.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учетом требований </w:t>
      </w:r>
      <w:r>
        <w:rPr>
          <w:sz w:val="28"/>
          <w:szCs w:val="28"/>
        </w:rPr>
        <w:t xml:space="preserve">к наличию имущества (движимого и недвижимого) у граждан, претендующих на получение некоторых мер поддержки, складывается парадоксальная ситуация – семья по уровню доходов является малообеспеченной, но при этом не может быть отнесена к категории «малоимущий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т.к. в собственности имеется несколько квартир (домов), автотранспортные средств и др.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категории населения, которые </w:t>
      </w:r>
      <w:r>
        <w:rPr>
          <w:sz w:val="28"/>
          <w:szCs w:val="28"/>
        </w:rPr>
        <w:t xml:space="preserve">могут иметь </w:t>
      </w:r>
      <w:r>
        <w:rPr>
          <w:sz w:val="28"/>
          <w:szCs w:val="28"/>
        </w:rPr>
        <w:t xml:space="preserve">доход ниже величины прожиточного минимума: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семьи с детьми до 3 лет;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многодетные семьи;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безработные граждане</w:t>
      </w:r>
      <w:r>
        <w:rPr>
          <w:sz w:val="28"/>
          <w:szCs w:val="28"/>
        </w:rPr>
        <w:t xml:space="preserve">, а также граждане, не имеющие постоянного дохода (случайные заработки)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сюда же можно отнести неработающих пенсионеров, получающих пенсию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старости (инвалидности) </w:t>
      </w:r>
      <w:r>
        <w:rPr>
          <w:sz w:val="28"/>
          <w:szCs w:val="28"/>
        </w:rPr>
        <w:t xml:space="preserve">и региональную социальную доплату к пенсии, которые формально имеют доход, равный величине прожиточного минимума, установленн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для пенсионеров</w:t>
      </w:r>
      <w:r>
        <w:rPr>
          <w:sz w:val="28"/>
          <w:szCs w:val="28"/>
        </w:rPr>
        <w:t xml:space="preserve"> в целях определения права на регион</w:t>
      </w:r>
      <w:r>
        <w:rPr>
          <w:sz w:val="28"/>
          <w:szCs w:val="28"/>
        </w:rPr>
        <w:t xml:space="preserve">альную социальную доплату к пенсии (на                 2020 год – 11 709,00 руб.), но материальное обеспечение которых не превышает величину прожиточного минимума, установленного в целом для пенсионеров на территории области (на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 2020 года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12 073,75 руб.).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ольшинство мер</w:t>
      </w:r>
      <w:r>
        <w:rPr>
          <w:sz w:val="28"/>
          <w:szCs w:val="28"/>
        </w:rPr>
        <w:t xml:space="preserve"> социальной поддержки предоставляется гражданам без учета критерия нуждаемости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это выплаты и меры поддержки гражданам, имеющим определенное звание или статус, а также заслуги перед государством и областью (ветераны войны и труда, почетные доноры России, </w:t>
      </w:r>
      <w:r>
        <w:rPr>
          <w:sz w:val="28"/>
          <w:szCs w:val="28"/>
        </w:rPr>
        <w:t xml:space="preserve">многодетные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приемные </w:t>
      </w:r>
      <w:r>
        <w:rPr>
          <w:sz w:val="28"/>
          <w:szCs w:val="28"/>
        </w:rPr>
        <w:t xml:space="preserve">сем</w:t>
      </w:r>
      <w:r>
        <w:rPr>
          <w:sz w:val="28"/>
          <w:szCs w:val="28"/>
        </w:rPr>
        <w:t xml:space="preserve">ьи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квалифицированные </w:t>
      </w:r>
      <w:r>
        <w:rPr>
          <w:sz w:val="28"/>
          <w:szCs w:val="28"/>
        </w:rPr>
        <w:t xml:space="preserve">специалисты</w:t>
      </w:r>
      <w:r>
        <w:rPr>
          <w:sz w:val="28"/>
          <w:szCs w:val="28"/>
        </w:rPr>
        <w:t xml:space="preserve">, проживающие и работающие в сельской местности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чернобыльцы, инвалиды</w:t>
      </w:r>
      <w:r>
        <w:rPr>
          <w:sz w:val="28"/>
          <w:szCs w:val="28"/>
        </w:rPr>
        <w:t xml:space="preserve">, Почетные граждане области, пенсионеры из числа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 др.)</w:t>
      </w:r>
      <w:r>
        <w:rPr>
          <w:sz w:val="28"/>
          <w:szCs w:val="28"/>
        </w:rPr>
        <w:t xml:space="preserve">. Указанные меры поддержки получают 28458 граждан.</w:t>
      </w:r>
      <w:r>
        <w:rPr>
          <w:sz w:val="28"/>
          <w:szCs w:val="28"/>
        </w:rPr>
        <w:t xml:space="preserve"> 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применением критериев нуждаемости и</w:t>
      </w:r>
      <w:r>
        <w:rPr>
          <w:sz w:val="28"/>
          <w:szCs w:val="28"/>
        </w:rPr>
        <w:t xml:space="preserve"> учетом размера среднедушевого дохода получателей</w:t>
      </w:r>
      <w:r>
        <w:rPr>
          <w:sz w:val="28"/>
          <w:szCs w:val="28"/>
        </w:rPr>
        <w:t xml:space="preserve"> предоставляются</w:t>
      </w:r>
      <w:r>
        <w:rPr>
          <w:sz w:val="28"/>
          <w:szCs w:val="28"/>
        </w:rPr>
        <w:t xml:space="preserve"> меры</w:t>
      </w:r>
      <w:r>
        <w:rPr>
          <w:sz w:val="28"/>
          <w:szCs w:val="28"/>
        </w:rPr>
        <w:t xml:space="preserve"> социальной поддержки </w:t>
      </w:r>
      <w:r>
        <w:rPr>
          <w:sz w:val="28"/>
          <w:szCs w:val="28"/>
        </w:rPr>
        <w:t xml:space="preserve">26160 гражданам, и это именно те </w:t>
      </w:r>
      <w:r>
        <w:rPr>
          <w:sz w:val="28"/>
          <w:szCs w:val="28"/>
        </w:rPr>
        <w:t xml:space="preserve">семьи, где имеется большая иждивенческая нагрузка</w:t>
      </w:r>
      <w:r>
        <w:rPr>
          <w:sz w:val="28"/>
          <w:szCs w:val="28"/>
        </w:rPr>
        <w:t xml:space="preserve"> (наличие несовершеннолетних детей либо студентов в семье), либо возраст и состояние здоровья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позволяет осуществлять трудовую деятельность. К таким мерам поддержки относятся региональная социальная доплат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 пенсии, пособие на ребенка, субсидия на оплату жилого помещения и коммунальных услуг, ежемесячная денежная выплата при рождении</w:t>
      </w:r>
      <w:r>
        <w:rPr>
          <w:sz w:val="28"/>
          <w:szCs w:val="28"/>
        </w:rPr>
        <w:t xml:space="preserve"> третьего или последующего ребенка</w:t>
      </w:r>
      <w:r>
        <w:rPr>
          <w:sz w:val="28"/>
          <w:szCs w:val="28"/>
        </w:rPr>
        <w:t xml:space="preserve">, выплаты</w:t>
      </w:r>
      <w:r>
        <w:rPr>
          <w:sz w:val="28"/>
          <w:szCs w:val="28"/>
        </w:rPr>
        <w:t xml:space="preserve"> на первого ребенка</w:t>
      </w:r>
      <w:r>
        <w:rPr>
          <w:sz w:val="28"/>
          <w:szCs w:val="28"/>
        </w:rPr>
        <w:t xml:space="preserve"> и другие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реализуемые меры в той или иной степени обеспечивают частичную компенсацию потери доходов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связанной </w:t>
      </w:r>
      <w:r>
        <w:rPr>
          <w:sz w:val="28"/>
          <w:szCs w:val="28"/>
        </w:rPr>
        <w:t xml:space="preserve">с возрастом, инвалидностью либо </w:t>
      </w:r>
      <w:r>
        <w:rPr>
          <w:sz w:val="28"/>
          <w:szCs w:val="28"/>
        </w:rPr>
        <w:t xml:space="preserve">с рождением в </w:t>
      </w:r>
      <w:r>
        <w:rPr>
          <w:sz w:val="28"/>
          <w:szCs w:val="28"/>
        </w:rPr>
        <w:t xml:space="preserve">семье</w:t>
      </w:r>
      <w:r>
        <w:rPr>
          <w:sz w:val="28"/>
          <w:szCs w:val="28"/>
        </w:rPr>
        <w:t xml:space="preserve"> ребенка и нахождением матери (одного из родителей) в отпуске по уходу за ребенком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эффективные меры социальной поддержки, позволяющие семье  выйти за пределы бедности</w:t>
      </w:r>
      <w:r>
        <w:rPr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ежемесячные денежные выплаты при рождении</w:t>
      </w:r>
      <w:r>
        <w:rPr>
          <w:sz w:val="28"/>
          <w:szCs w:val="28"/>
        </w:rPr>
        <w:t xml:space="preserve"> третьего или последующего ребенка</w:t>
      </w:r>
      <w:r>
        <w:rPr>
          <w:sz w:val="28"/>
          <w:szCs w:val="28"/>
        </w:rPr>
        <w:t xml:space="preserve">, а также на детей в возрасте от трех до семи лет включительно, ежемесячные выплаты</w:t>
      </w:r>
      <w:r>
        <w:rPr>
          <w:sz w:val="28"/>
          <w:szCs w:val="28"/>
        </w:rPr>
        <w:t xml:space="preserve"> на первого ребенка</w:t>
      </w:r>
      <w:r>
        <w:rPr>
          <w:sz w:val="28"/>
          <w:szCs w:val="28"/>
        </w:rPr>
        <w:t xml:space="preserve">, пособия при рождении детей и по уходу за ребенком до полутора лет.</w:t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</w:t>
      </w:r>
      <w:r>
        <w:rPr>
          <w:sz w:val="28"/>
          <w:szCs w:val="28"/>
        </w:rPr>
        <w:t xml:space="preserve">тем, часть пожилых граждан и инвалидов, а также одинокие неработающие граждане по уровню доходов остаются за чертой бедности, поэтому для них наиболее востребованы и эффективны материальная помощь и субсидия на оплату жилого помещения и коммунальных услуг.</w:t>
      </w:r>
      <w:r>
        <w:rPr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семей, которым отказано в предоставлении ежемесячной денежной выплаты на ребенка в возрасте от 3 до 7 лет включительно по причине отсутствия доходов от трудовой деятельности, предусмотрено социальное сопровождени</w:t>
      </w:r>
      <w:r>
        <w:rPr>
          <w:sz w:val="28"/>
          <w:szCs w:val="28"/>
        </w:rPr>
        <w:t xml:space="preserve">е в </w:t>
      </w:r>
      <w:r>
        <w:rPr>
          <w:rFonts w:ascii="Times New Roman" w:hAnsi="Times New Roman" w:cs="Times New Roman"/>
          <w:sz w:val="28"/>
          <w:szCs w:val="28"/>
        </w:rPr>
        <w:t xml:space="preserve">областном государственном учреждении социального обслуживания «Социально-реабилитационный центр для несовершеннолет</w:t>
      </w:r>
      <w:r>
        <w:rPr>
          <w:rFonts w:ascii="Times New Roman" w:hAnsi="Times New Roman" w:cs="Times New Roman"/>
          <w:sz w:val="28"/>
          <w:szCs w:val="28"/>
        </w:rPr>
        <w:t xml:space="preserve">них» </w:t>
      </w:r>
      <w:r>
        <w:rPr>
          <w:sz w:val="28"/>
          <w:szCs w:val="28"/>
        </w:rPr>
        <w:t xml:space="preserve">– с в</w:t>
      </w:r>
      <w:r>
        <w:rPr>
          <w:sz w:val="28"/>
          <w:szCs w:val="28"/>
        </w:rPr>
        <w:t xml:space="preserve">озможностью получить иные меры поддержки, материальную помощь,  заключить социальный контракт, а также </w:t>
      </w:r>
      <w:r>
        <w:rPr>
          <w:sz w:val="28"/>
          <w:szCs w:val="28"/>
        </w:rPr>
        <w:t xml:space="preserve"> содействие в поиске подходящей работы, переобучении, профессиональном обучении через органы занятости населения.</w:t>
      </w:r>
      <w:r>
        <w:rPr>
          <w:sz w:val="28"/>
          <w:szCs w:val="28"/>
        </w:rPr>
        <w:t xml:space="preserve">»;</w:t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подраздел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 1.4. «Практика применения социального контракта»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абзаце третьем слово «комитетом»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заменить словом «департаментом»;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дополнить абзацами следующего содержания: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9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Предоставление государственной социальной помощи на основании социального контракта является действенным </w:t>
      </w:r>
      <w:r>
        <w:rPr>
          <w:sz w:val="28"/>
          <w:szCs w:val="28"/>
        </w:rPr>
        <w:t xml:space="preserve">инструментом по выходу семьи из трудной жизненной ситуации. Названные направления для заключения социального контракта позволят в среднесрочной и долгосрочной перспективе трудоспособным членам семьи иметь доходное занятие, обеспечивающее потребности семьи.</w:t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оказания государственной помощи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, влияние такого вида государственной помощи на уровень доходов семьи в целом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преодоления семьей порога бедности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 xml:space="preserve">оценены </w:t>
      </w:r>
      <w:r>
        <w:rPr>
          <w:rFonts w:ascii="Times New Roman" w:hAnsi="Times New Roman" w:cs="Times New Roman"/>
          <w:sz w:val="28"/>
          <w:szCs w:val="28"/>
        </w:rPr>
        <w:t xml:space="preserve">в последующем, </w:t>
      </w:r>
      <w:r>
        <w:rPr>
          <w:rFonts w:ascii="Times New Roman" w:hAnsi="Times New Roman" w:cs="Times New Roman"/>
          <w:sz w:val="28"/>
          <w:szCs w:val="28"/>
        </w:rPr>
        <w:t xml:space="preserve">когда механизм предоставления социального контракта по различным направлениям начнет действовать в полном объеме.».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851" w:bottom="1134" w:left="1701" w:header="720" w:footer="720" w:gutter="0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3.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 2 «Целевые показатели (индикаторы) реализации Плана мероприятий» изложить в следующей редакции:</w:t>
      </w:r>
      <w:r/>
    </w:p>
    <w:p>
      <w:pPr>
        <w:pStyle w:val="876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jc w:val="center"/>
        <w:widowControl/>
        <w:rPr>
          <w:rFonts w:ascii="Times New Roman" w:hAnsi="Times New Roman" w:cs="Times New Roman"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Раздел 2.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Целевые показатели (индикаторы) реализации Плана мероприятий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pStyle w:val="876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jc w:val="center"/>
        <w:widowControl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149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1418"/>
        <w:gridCol w:w="840"/>
        <w:gridCol w:w="840"/>
        <w:gridCol w:w="868"/>
        <w:gridCol w:w="833"/>
        <w:gridCol w:w="831"/>
        <w:gridCol w:w="749"/>
        <w:gridCol w:w="889"/>
        <w:gridCol w:w="850"/>
        <w:gridCol w:w="851"/>
        <w:gridCol w:w="850"/>
        <w:gridCol w:w="850"/>
        <w:gridCol w:w="850"/>
        <w:gridCol w:w="813"/>
      </w:tblGrid>
      <w:tr>
        <w:trPr>
          <w:cantSplit/>
          <w:trHeight w:val="255"/>
        </w:trPr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п/п</w:t>
            </w:r>
            <w:r/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показателя</w:t>
            </w:r>
            <w:r/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Единица измерения</w:t>
            </w:r>
            <w:r/>
          </w:p>
        </w:tc>
        <w:tc>
          <w:tcPr>
            <w:tcW w:w="8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2018 факт</w:t>
            </w:r>
            <w:r/>
          </w:p>
        </w:tc>
        <w:tc>
          <w:tcPr>
            <w:tcW w:w="8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11"/>
            <w:tcW w:w="9235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Целевое значение показателя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cantSplit/>
          <w:trHeight w:val="255"/>
        </w:trPr>
        <w:tc>
          <w:tcPr>
            <w:tcW w:w="534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2020</w:t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3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2022</w:t>
            </w:r>
            <w:r/>
          </w:p>
        </w:tc>
        <w:tc>
          <w:tcPr>
            <w:tcW w:w="74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</w:t>
            </w:r>
            <w:r/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2024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</w:t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2026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2027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2028</w:t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2029</w:t>
            </w:r>
            <w:r/>
          </w:p>
        </w:tc>
        <w:tc>
          <w:tcPr>
            <w:tcW w:w="81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2030</w:t>
            </w:r>
            <w:r/>
          </w:p>
        </w:tc>
      </w:tr>
    </w:tbl>
    <w:p>
      <w:pPr>
        <w:pStyle w:val="876"/>
        <w:spacing w:line="14" w:lineRule="exact"/>
      </w:pPr>
      <w:r/>
      <w:r/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1418"/>
        <w:gridCol w:w="840"/>
        <w:gridCol w:w="840"/>
        <w:gridCol w:w="868"/>
        <w:gridCol w:w="833"/>
        <w:gridCol w:w="831"/>
        <w:gridCol w:w="40"/>
        <w:gridCol w:w="709"/>
        <w:gridCol w:w="889"/>
        <w:gridCol w:w="43"/>
        <w:gridCol w:w="779"/>
        <w:gridCol w:w="28"/>
        <w:gridCol w:w="823"/>
        <w:gridCol w:w="28"/>
        <w:gridCol w:w="822"/>
        <w:gridCol w:w="28"/>
        <w:gridCol w:w="822"/>
        <w:gridCol w:w="28"/>
        <w:gridCol w:w="822"/>
        <w:gridCol w:w="28"/>
        <w:gridCol w:w="813"/>
      </w:tblGrid>
      <w:tr>
        <w:trPr>
          <w:tblHeader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</w:t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</w:t>
            </w:r>
            <w:r/>
          </w:p>
        </w:tc>
        <w:tc>
          <w:tcPr>
            <w:tcW w:w="83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</w:t>
            </w:r>
            <w:r/>
          </w:p>
        </w:tc>
        <w:tc>
          <w:tcPr>
            <w:gridSpan w:val="2"/>
            <w:tcW w:w="74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</w:t>
            </w:r>
            <w:r/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</w:t>
            </w:r>
            <w:r/>
          </w:p>
        </w:tc>
        <w:tc>
          <w:tcPr>
            <w:gridSpan w:val="3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</w:t>
            </w:r>
            <w:r/>
          </w:p>
        </w:tc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13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14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15</w:t>
            </w:r>
            <w:r/>
          </w:p>
        </w:tc>
        <w:tc>
          <w:tcPr>
            <w:tcW w:w="81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16</w:t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Реальные располагаемые денежные доходы населения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% г/г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98,5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100,6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&lt;*&gt;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99,9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100,4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3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104,4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74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104,0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3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103,7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103,5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1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Реальная заработная плата работников организаций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% г/г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110,4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102,7</w:t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103,8</w:t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100,3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3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74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104,4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3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103,5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1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103,6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gridSpan w:val="23"/>
            <w:tcW w:w="14992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Цель: Снижение уровня бедности в два раза</w:t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Численность населения с денежными доходами ниже величины прожиточного минимума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% от общей численности населения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23,7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23,9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&lt;*&gt;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23,7</w:t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23,0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7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20,3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18,8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932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17,4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W w:w="77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16,1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14,9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13,8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12,8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11,8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gridSpan w:val="2"/>
            <w:tcW w:w="84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10,2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граждан, снятых с регистрационного учета в связи с трудоустройст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вом, к общей численности граждан, обратившихся в органы службы занятости населения за содействием в поиске подходящей работы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83,8</w:t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/>
          </w:p>
        </w:tc>
        <w:tc>
          <w:tcPr>
            <w:gridSpan w:val="2"/>
            <w:tcW w:w="871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gridSpan w:val="2"/>
            <w:tcW w:w="93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W w:w="77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50</w:t>
            </w:r>
            <w:r/>
          </w:p>
        </w:tc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55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55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60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60</w:t>
            </w:r>
            <w:r/>
          </w:p>
        </w:tc>
        <w:tc>
          <w:tcPr>
            <w:gridSpan w:val="2"/>
            <w:tcW w:w="84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60</w:t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созданных мест дошкольного образования, присмотра и ухода за детьми дошкольного возраста за счет субсидии из федерального бюджета бюджету области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360</w:t>
            </w:r>
            <w:r/>
          </w:p>
        </w:tc>
        <w:tc>
          <w:tcPr>
            <w:gridSpan w:val="2"/>
            <w:tcW w:w="87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gridSpan w:val="2"/>
            <w:tcW w:w="932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tcW w:w="77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  <w:tc>
          <w:tcPr>
            <w:gridSpan w:val="2"/>
            <w:tcW w:w="84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</w:t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получающих различные меры социальной поддержки, от общего количества населения в области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34,5</w:t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31,5</w:t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31,5</w:t>
            </w:r>
            <w:r/>
          </w:p>
        </w:tc>
        <w:tc>
          <w:tcPr>
            <w:gridSpan w:val="2"/>
            <w:tcW w:w="871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31,5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31,5</w:t>
            </w:r>
            <w:r/>
          </w:p>
        </w:tc>
        <w:tc>
          <w:tcPr>
            <w:gridSpan w:val="2"/>
            <w:tcW w:w="93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31,5</w:t>
            </w:r>
            <w:r/>
          </w:p>
        </w:tc>
        <w:tc>
          <w:tcPr>
            <w:tcW w:w="77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31,5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31,5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31,5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31,5</w:t>
            </w:r>
            <w:r/>
          </w:p>
        </w:tc>
        <w:tc>
          <w:tcPr>
            <w:gridSpan w:val="2"/>
            <w:tcW w:w="84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31,5</w:t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3 до 7 лет включительно, в отношении которых произведена ежемесячная выплата, в общей численности детей этого возраста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44,2</w:t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44,2</w:t>
            </w:r>
            <w:r/>
          </w:p>
        </w:tc>
        <w:tc>
          <w:tcPr>
            <w:gridSpan w:val="2"/>
            <w:tcW w:w="871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44,2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27,1</w:t>
            </w:r>
            <w:r/>
          </w:p>
        </w:tc>
        <w:tc>
          <w:tcPr>
            <w:gridSpan w:val="2"/>
            <w:tcW w:w="9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77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W w:w="84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W w:w="868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833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gridSpan w:val="2"/>
            <w:tcW w:w="871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gridSpan w:val="2"/>
            <w:tcW w:w="932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</w:tc>
        <w:tc>
          <w:tcPr>
            <w:tcW w:w="779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85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35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35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35</w:t>
            </w:r>
            <w:r/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35</w:t>
            </w:r>
            <w:r/>
          </w:p>
        </w:tc>
        <w:tc>
          <w:tcPr>
            <w:gridSpan w:val="2"/>
            <w:tcW w:w="841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35</w:t>
            </w:r>
            <w:r/>
          </w:p>
        </w:tc>
      </w:tr>
    </w:tbl>
    <w:p>
      <w:pPr>
        <w:pStyle w:val="876"/>
        <w:ind w:firstLine="539"/>
        <w:jc w:val="both"/>
        <w:widowControl/>
        <w:rPr>
          <w:rFonts w:ascii="Times New Roman" w:hAnsi="Times New Roman" w:cs="Times New Roman"/>
          <w:sz w:val="28"/>
          <w:szCs w:val="28"/>
        </w:rPr>
      </w:pPr>
      <w:r/>
      <w:bookmarkStart w:id="0" w:name="Par98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* Предварительные данные.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аздел 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«Перечень мероприятий, сроки реализации и ожидаемые результаты выполнения мероприятий»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pStyle w:val="89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89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89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89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«Раздел 3. </w:t>
      </w:r>
      <w:r>
        <w:rPr>
          <w:b w:val="0"/>
          <w:sz w:val="28"/>
          <w:szCs w:val="28"/>
        </w:rPr>
        <w:t xml:space="preserve">Перечень мероприятий</w:t>
      </w:r>
      <w:r>
        <w:rPr>
          <w:b w:val="0"/>
          <w:sz w:val="28"/>
          <w:szCs w:val="28"/>
        </w:rPr>
        <w:t xml:space="preserve">, сроки реализации и ожидаемые результаты выполнения мероприятий</w:t>
      </w:r>
      <w:r/>
    </w:p>
    <w:p>
      <w:pPr>
        <w:pStyle w:val="89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tbl>
      <w:tblPr>
        <w:tblW w:w="1463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3405"/>
        <w:gridCol w:w="3240"/>
        <w:gridCol w:w="1777"/>
        <w:gridCol w:w="2390"/>
        <w:gridCol w:w="3119"/>
      </w:tblGrid>
      <w:tr>
        <w:trPr>
          <w:trHeight w:val="1053"/>
        </w:trPr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п/п</w:t>
            </w:r>
            <w:r/>
          </w:p>
        </w:tc>
        <w:tc>
          <w:tcPr>
            <w:tcW w:w="3405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</w:t>
            </w:r>
            <w:r/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результат/документ, подтверждающий выполнение мероприятия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реализации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ресурсного обеспечения (при наличии)/ источник финансирования</w:t>
            </w:r>
            <w:r/>
          </w:p>
        </w:tc>
      </w:tr>
    </w:tbl>
    <w:p>
      <w:pPr>
        <w:pStyle w:val="876"/>
        <w:spacing w:line="14" w:lineRule="exact"/>
      </w:pPr>
      <w:r/>
      <w:r/>
    </w:p>
    <w:tbl>
      <w:tblPr>
        <w:tblW w:w="1463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3405"/>
        <w:gridCol w:w="3240"/>
        <w:gridCol w:w="1777"/>
        <w:gridCol w:w="2390"/>
        <w:gridCol w:w="3119"/>
      </w:tblGrid>
      <w:tr>
        <w:trPr>
          <w:tblHeader/>
        </w:trPr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gridSpan w:val="6"/>
            <w:tcW w:w="1463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Повышение уровня доходов граждан и повышение темпов роста доходов граждан, в том числе заработной платы над темпом роста инфляции </w:t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объема инвестиций в основной капитал на душу населения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Индекс физического объема инвестиций в основной капитал – не менее 5% ежегодно;</w:t>
            </w:r>
            <w:r/>
          </w:p>
          <w:p>
            <w:pPr>
              <w:pStyle w:val="92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инвестиций в основной капитал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валовом региональном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ВРП) – не менее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ежегодно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экономики правительства области,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некоммерческая организация – Фонд «Инвестиционное агентство ЕАО»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«Социально-эко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номическое развитие Дальнего Востока и Байкальского региона» на 2014 – 2025 годы, инвестиционные проекты, государственная программа «Формирование благоприятного инвестиционного климата на территории Еврейской автономной области» на 2019 –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экономики правительства области,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некоммерческая организация – Фонд «Инвестиционное агентство ЕАО»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Привлечение инвесторов, создание благоприятных условий для развития бизнеса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92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Накопленный объем инвестиций резидентов территорий опережающего социально-экономического развития (далее – ТОР)  в области (без учета бюджетных инвестиций) – 3,2 млрд. рублей, количество созданных рабочих мест на ТОР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0,4 тыс. человек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экономики правительства области, 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некоммерческая организация – Фонд «Инвестиционное агентство ЕАО»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«Социально-эко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номическое развитие Дальнего Востока и Байкальского региона» на 2014 – 2025 годы, инвестиционные проекты, государственная программа «Формирование благоприятного инвестиционного климата на территории Еврейской автономной области» на 2019 –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92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экономики правительства области,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некоммерческая организация – Фонд «Инвестиционное агентство ЕАО»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центров экономического роста области, рост объема привлеченных инвестиций, создание новых рабочих мест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социального развития центров экономического роста области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здравоохранения правительства области, комитет социальной защиты населения правительства области, комитет образования области, управление по организации проектной деятельности правительства области, комитет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управлению государственным имуществом  области, управление архитектуры и строительства правительства области, управление жилищно-коммунального хозяйства и энергетики правительства области, управление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22.06.2018 </w:t>
              <w:br w:type="textWrapping" w:clear="all"/>
              <w:t xml:space="preserve">№ 209-рп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Плана социального развития центров экономического роста Еврейской автономной области»</w:t>
            </w:r>
            <w:r/>
          </w:p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партамент социальной защиты населения правительства области, департамент образования области, департамент по организации проектной деятельности правительства области, департамент по управлению государственным имуществом  области, департамент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области, департамент автомобильных дорог и транспорта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инфраструктуры поддержки субъектов малого и среднего предпринимательства 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Количество субъектов </w:t>
            </w:r>
            <w:r>
              <w:rPr>
                <w:szCs w:val="24"/>
              </w:rPr>
              <w:t xml:space="preserve">малого и среднего предпринимательства (</w:t>
            </w:r>
            <w:r>
              <w:rPr>
                <w:szCs w:val="24"/>
              </w:rPr>
              <w:t xml:space="preserve">получателей поддержки)  – не менее 300 единиц ежегодно;</w:t>
            </w:r>
            <w:r/>
          </w:p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  <w:t xml:space="preserve">увеличение доли продукции, произведенной малыми и средними предприятиями, в общем объеме ВРП до</w:t>
            </w:r>
            <w:r/>
          </w:p>
          <w:p>
            <w:pPr>
              <w:pStyle w:val="9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в 2024 году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экономики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«Формирование благоприятного инвестиционного климата на территории Еврейской автономной области» на 2019 –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93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экономики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1.5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ярмарок вакансий и учебных рабочих мест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 не менее 90 ярмарок 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областные государственные казенные учреждения центры занятости населения (далее – ОГКУ центры занятости населения)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 «Содействие занятости населения и обеспечение безопасности труда»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2020 – 2025 годы</w:t>
            </w:r>
            <w:r/>
          </w:p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1.6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 от 14 до 18 лет в свободное от учебы время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 менее 670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области, 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центры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 «Содействие занятости населения и обеспечение безопасности труда» на 2020 –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1.7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безработных граждан, испытывающих трудности в поиске работы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 менее 54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области, ОГКУ центры занятости населения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«Содействие занятости населения и обеспечение безопасности труда» на 2020 –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1.8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безработных граждан в возрасте от 18 до          20 лет, имеющих среднее профессиональное образование и ищущих работу впервые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 человек  ежегодно 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области, ОГКУ центры занятости населения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«Содействие занятости населения и обеспечение безопасности труда» на 2020 –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области, ОГКУ центры занятости населения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безработных граждан в возрасте от 18 до  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 человек  ежегодно 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области, 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занятости населения Еврейской автономной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«Содействие занятости населения и обеспечение безопасности труда» на 2020 – 2025 годы</w:t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безработных граждан по профессиям, пользующимся устойчивым спросом на рынке труда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офессионального обучения и дополнительного профессионального образования безработных граждан:</w:t>
            </w:r>
            <w:r>
              <w:rPr>
                <w:highlight w:val="none"/>
              </w:rPr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2020 год – 42 человека;</w:t>
            </w:r>
            <w:r>
              <w:rPr>
                <w:highlight w:val="none"/>
              </w:rPr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2021 год – 55 человек;</w:t>
            </w:r>
            <w:r>
              <w:rPr>
                <w:highlight w:val="none"/>
              </w:rPr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человека;</w:t>
            </w:r>
            <w:r>
              <w:rPr>
                <w:highlight w:val="none"/>
              </w:rPr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383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человека;</w:t>
            </w:r>
            <w:r>
              <w:rPr>
                <w:highlight w:val="none"/>
              </w:rPr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383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2025 год – 394 человека</w:t>
            </w:r>
            <w:r>
              <w:rPr>
                <w:highlight w:val="none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области, ОГКУ центры занятости населения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«Содействие занятости населения и обеспечение безопасности труда» на 2020 –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лиц в возрасте            50 лет и старше, а также лиц предпенсионного возраста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предпенсионного возраста в 2020 году – не менее                    10 человек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области, ОГКУ центры занятости населения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 «Содействие занятости населения и обеспечение безопасности труда» на 2020 – 2025 годы</w:t>
            </w:r>
            <w:r/>
          </w:p>
        </w:tc>
      </w:tr>
      <w:tr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переобучения и повышения квалификации женщин, находящихся в отпуске по уходу за ребенком в возрасте до 3 лет, а также женщин, имеющих детей дошкольного возраста, не состоящих в трудовых отношениях и обратившихся в органы службы занятости населения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переобучения и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женщин, находящихся в отпуске по уходу за ребенком в возрасте до 3 лет, а также женщин, имеющих детей дошкольного возраста, не состоящих в трудовых отношениях и обратившихся в органы службы занятости населения в 2020 году – не менее 14 человек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области, ОГКУ центры занятости населения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 «Содействие занятости населения и обеспечение безопасности труда» на 2020 –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02"/>
        </w:trPr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          3 лет </w:t>
            </w:r>
            <w:r/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 – не менее          2 человек ежегодно 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            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 «Содействие занятости населения и обеспечение безопасности труда» на 2020 –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показателей уровня погашения задолженности по выплате заработной платы перед работниками организаций области 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задолженности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выплате текущей заработной платы и погашение задолженности по выплате заработной платы в организациях независимо от их организационно-правовой формы, формы собственности и источников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  области, органы местного самоуправления 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области от 29.07.2019 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381-рг 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дополнительных мер, направленных на снижение задолженности по заработной плате в организациях, расположенных на территории Еврейской автономной области»</w:t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области, органы местного самоуправления 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снижению неформальной занятости и легализации «теневых» доходов</w:t>
            </w:r>
            <w:r/>
          </w:p>
          <w:p>
            <w:pPr>
              <w:pStyle w:val="8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трудовых договоров с выявленными неформально занятыми работниками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  области, органы местного самоуправления 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губернатора области от 07.07.2014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215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создании Межведомственной комиссии по легализации трудовых отношений и контролю за выплатой заработной платы в организациях, расположенных на территории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области, органы местного самоуправления </w:t>
            </w:r>
            <w:r/>
          </w:p>
          <w:p>
            <w:pPr>
              <w:pStyle w:val="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гранта на поддержку начинающего фермера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грантов начинающим фермерам: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2020 году – 4 хозяйства;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2021 году – 5 хозяйств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«Развитие сельского хозяйства и регулирование рынков сельскохозяйственной продукции, сырья, продовольствия в Еврейской автономной области» на 2020 –           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гранта на развитие семейной фермы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и развитие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ежегодно не менее                        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семейн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животноводческ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ферм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«Развитие сельского хозяйства и регулирование рынков сельскохозяйственной продукции, сырья, продовольствия в Еврейской автономной области» на 2020 –                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2030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гранта на развитие материально-технической базы сельскохозяйственных потребительских кооперативов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Развитие материально-технической базы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ежегодно не менее                                        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сельскохозяйственн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потребительск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кооператив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«Развитие сельского хозяйства и регулирование рынков сельскохозяйственной продукции, сырья, продовольствия в Еврейской автономной области» на 2020 –               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2030 годы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«Агростартап», связанного с реализацией проекта создания и развития крестьянского (фермерского) хозяйства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«Агростартап», связанного с реализацией проекта создания и развития крестьянского (фермерского) хозяйства: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3 хозяйства; 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3 хозяйства;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3 хозяйства;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5 хозяйств;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5 хозяйств;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5 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«Развитие сельского хозяйства и регулирование рынков сельскохозяйственной продукции, сырья, продовольствия в Еврейской автономной области» на 2020 –                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  <w:trHeight w:val="186"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субсидии сельскохозяйственным потребительским кооперативам на развитие сельскохозяйственных потребительских кооперативов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средств субсидии ежегодно не менее чем                                                  1 сельскохозяйственному потребительскому кооперативу 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сельского хозяйства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бюджетам муниципальных образований области субсидий на создание дополнительных мест для детей в возрасте от 1,5 до 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                                       360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в том числе: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бюджету муниципального образования «Город Биробиджан» области  –  на создание 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дополнительных мест;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бюджету муниципального образования «Смидовичский муниципальный район» области – на создание               120 дополнительных мест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образования области, муниципальное образование «Город Биробиджан» области (по согласованию), муниципальное образование «Смидовичский муниципальный район» области (по согласованию)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«Развитие образования Еврейской автономной области» на 2018 –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годы </w:t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образования области, муниципальное образование «Город Биробиджан» области 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(по согласованию), муниципальное образование «Смидовичский муниципальный район» области 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(по согласованию)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комплексных программ по вовлечению в предпринимательскую деятельность и содействию создания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образовательной программы (семинары/тренинги, выездные мероприятия) с участием не менее                     200 участников ежегодно;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для отбора не менее                    150 участников образовательных программ ежегодно;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молодым предпринимателям по различным аспектам ведения бизнеса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 менее              43 консультаций ежегодно;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конкурса с участием не менее 15 проектов ежегодно;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в межрегиональных, общероссийских и международных мероприятиях, направленных на поддержку и развитие молодежного предпринимательства,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 ежегодно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образования области, областное государственное бюджетное учреждение дополнительного образования  «Центр «Мост»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«Формирование благоприятного инвестиционного климата на территории Еврейской автономной области» на 2019 – 2025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образования области, областное государственное бюджетное учреждение дополнительного образования  «Центр «Мост»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1463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Снижение расходной части бюджета граждан, в том числе посредством развития системы социальной помощи гражданам, нуждающимся в социальной поддержке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Формирование и ведение реестров граждан с доходами ниже величины прожиточного минимума, установленного в области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Реестры граждан с доходами ниже величины прожиточного минимума, установленного в области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 областное государственное бюджетное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Многофункцио-нальный центр предоставления государственных и муниципальных услуг в Еврейской автономной области» (далее – ОГБУ «МФЦ»)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                –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гражданам, находящимся в трудной жизненной ситуации, адресной материальной помощи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адресной материальной помощи ежегодно не менее                     385 гражданам, находящимся в трудной жизненной ситуации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социальной защиты населения правительства области, областное государственное бюджетное  учреждение «Комплексный центр социального обслуживания Еврейской автономной области» (далее – ОГБУ «КЦСО»)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обслуживание населения Еврейской автономной области» на 2020 –                 2024 годы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области, ОГБУ «КЦСО»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 помощи отдельным категориям граждан по предоставлению льготного проезда на пригородном автомобильном транспорте по территории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учащихся, имеющих право на льготный проезд, с учетом критерия нуждаемости: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 человек;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 человек;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100 человек;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100 человек;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100 человек;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100 человек;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100 человек;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100 человек;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автономной области» на 2020 –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1803"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2.4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</w:t>
            </w:r>
            <w:r/>
          </w:p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предоставление социальной поддержки 10 гражданам, имеющим право на частичную компенсацию стоимости проезда на железнодорожном транспорте общего пользования в пригородном сообщении, с учетом критерия нуждаемости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автономной области» на 2020 –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2030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региональной социальной доплаты к пенсии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обязательств по предоставлению социальной поддержки неработающих пенсионеров, имеющих право на региональную социальную доплату к пенсии: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7 935 человек;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8 125 человек;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8 315 человек;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8 000 человек;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8 200 человек;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2025 году - 8 200 человек;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2026 году - 8 200 человек;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2027 году - 8 200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автономной области» на 2020 –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субсидий на оплату жилых помещений и коммунальных услуг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предоставление государственной поддержки не менее 7900 семьям, имеющим право на получение субсидии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автономной области» на 2020 –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2.7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единовременной денежной выплаты в размере 1 млн. рублей многодетным семьям, проживающим на территории области, имеющим девять и более детей, в рамках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казания социальной помощи многодетным семьям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единовременной денежной выплаты: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2020 году – 4 семьям;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2021 году – 1 семье;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2022 году – 1 семье;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2023 году – 1 семье;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2024 году – 1 семье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населения Еврейской автономной области» на 2020 – 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2.8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на ребенка в возрасте от 3 до 7 лет включительно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денежной выплаты: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2020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5000 семей с детьми;</w:t>
            </w:r>
            <w:r/>
          </w:p>
          <w:p>
            <w:pPr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2021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5000 семей с детьми;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2022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5000 семей с детьми;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2023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менее              2350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автономной области» на 2020                        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2.9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денежной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семьям с детьми, нуждающимся в социальной поддержке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jc w:val="both"/>
              <w:widowControl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2020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менее              1400 семей;</w:t>
            </w:r>
            <w:r/>
          </w:p>
          <w:p>
            <w:pPr>
              <w:pStyle w:val="876"/>
              <w:jc w:val="both"/>
              <w:widowControl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2021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менее             1400 семей;</w:t>
            </w:r>
            <w:r/>
          </w:p>
          <w:p>
            <w:pPr>
              <w:pStyle w:val="876"/>
              <w:jc w:val="both"/>
              <w:widowControl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2022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менее            1400 семей;</w:t>
            </w:r>
            <w:r/>
          </w:p>
          <w:p>
            <w:pPr>
              <w:pStyle w:val="876"/>
              <w:jc w:val="both"/>
              <w:widowControl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2023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менее            969 семей;</w:t>
            </w:r>
            <w:r/>
          </w:p>
          <w:p>
            <w:pPr>
              <w:pStyle w:val="876"/>
              <w:jc w:val="both"/>
              <w:widowControl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менее            585 семей;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менее              189 семей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автономной области» на 2020 –  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2.10 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областного материнского (семейного) капитала при рождении (усыновлении) третьего ребенка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семей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автономной области» на 2020 –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2.11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областного материнского (семейного) капитала при рождении (усыновлении) второго ребенка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семей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автономной области» на 2020 –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2.12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ежемесячной выплаты в связи с рождением (усыновлением) первого ребенка в соответствии с Федеральным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consultantplus://offline/ref=CB26D58D1BB3E7F5EDC7EF42CE753A389C137C4787DA8543F41C03E38852C7EAFD9C91459DC48D06308D3ED6E4eELFA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28.12.2017 № 418-ФЗ                    «О ежемесячных выплатах семьям, имеющим детей»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выплаты не менее 850 семьям с детьми, нуждающимся в социальной поддержке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социальной защиты населения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тономной области» на 2020 –               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9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Перечисление субвенции в размере, установленном соглашением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Фондом пенсионного и социального страхования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                2030 годы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r>
            <w:r/>
          </w:p>
        </w:tc>
        <w:tc>
          <w:tcPr>
            <w:tcW w:w="239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Еврейской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тономной области» на 2020 –               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2.14</w:t>
            </w:r>
            <w:r/>
          </w:p>
        </w:tc>
        <w:tc>
          <w:tcPr>
            <w:tcW w:w="3405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части родительской платы за присмотр и уход за детьми в организациях,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положенных на территории области и реализующих образовательную программу дошкольного образования, в рамках государственной поддержки родителей, дети которых посещают образовательные организации, реализующие образовательные программы дошкольного образования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мер государственной поддержки 100 %  родителей, имеющим право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части родительской платы за присмотр и уход за детьми в организациях, расположенных на территории области и реализующих образовательную программу дошкольного образования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2020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Муниципальные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области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области                         от 30.10.2013 № 372-ОЗ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размере выплаты родителям (законным представителям) ребенка компенсации части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ельской платы за присмотр и уход за детьми в организациях, осуществляющих образовательную деятельность, расположенных на территории Еврейской автономной области, реализующих образовательную программу дошкольного образования»,                закон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07.02.2007 № 77-ОЗ</w:t>
            </w:r>
            <w:r/>
          </w:p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наделении органов местного самоуправления муниципальных районов, городского округа Еврейской автономной области отдельными государственными полномочиями по назначению и выплате родителям (законным представителям)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компенсации части родительской платы за присмотр и уход за детьми в организациях, осуществляющих образовательную деятельность, расположенных на территории Еврейской автономной области, реализующих образовательные программы дошкольного образования»,</w:t>
            </w:r>
            <w:r/>
          </w:p>
          <w:p>
            <w:pPr>
              <w:pStyle w:val="876"/>
              <w:jc w:val="left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Еврейской автономной области» на 2018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2.15</w:t>
            </w:r>
            <w:r/>
          </w:p>
        </w:tc>
        <w:tc>
          <w:tcPr>
            <w:tcW w:w="3405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питания детей из малоимущих семей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горячим питанием в муниципальных общеобразовательных организациях не менее 20 % обучающихся из малоимущих семей от общей численности обучающихся, получающих питание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–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Муниципальные образования области (по согласованию)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области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23.11.2006 № 23-ОЗ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наделении органов местного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самоуправления муниципальных районов, городского округа Еврейской автономной области отдельными государственными полномочиями по предоставлению бесплатного питания обучающимся в общеобразовательных организациях на территории Еврейской автономной области»,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Еврейской автономной области» на 2018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2.16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пятидесятипроцентной скидкой в соответствии с перечнем групп населения и категорий заболеваний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 на приобретение лекарственных средств, отпускаемых по рецептам врачей ежегодно для  8 700 человек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здравоохранения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«Здравоохранение в Еврейской автономной области» на 2016 –                  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государственная программа области «Здравоохранение в Еврейской автономной области» на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2.17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полноценным питанием беременных женщин, имеющих доход ниже прожиточного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инимума, кормящих матерей и детей в возрасте до 3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питанием ежегодно не менее 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2 000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здравоохранения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«Здравоохранение в Еврейской автономной области» на 2016 –                 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государственная программа области «Здравоохранение в Еврейской автономной области» на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2.18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 лекарственными препаратами, изделиями медицинского назначения в рамках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consultantplus://offline/ref=91074B4890B06E98D0DD375C1367324E6F5CB03A41C82CB276FB16022E9E84D8FA85411F231BE9E2540AE60948CE0EG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17.07.99 № 178-ФЗ  </w:t>
              <w:br w:type="textWrapping" w:clear="all"/>
              <w:t xml:space="preserve">«О государственной социальной помощи», а также обеспечение продуктами лечебного питания для детей-инвалидов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лекарственными препаратами, изделиями медицинского назначения ежегодно не менее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5594 человек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здравоохранения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«Здравоохранение в Еврейской автономной области» на 2016 –                 2022 годы, государственная программа области «Здравоохранение в Еврейской автономной области» на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2030 годы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1463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3. Развитие системы социального контракта</w:t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помощи ежегодно не менее 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гражданам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социальной защиты населения правительства области,  ОГБУ «КЦСО»</w:t>
            </w:r>
            <w:r/>
          </w:p>
          <w:p>
            <w:pPr>
              <w:pStyle w:val="876"/>
              <w:contextualSpacing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обслуживание населения Еврейской автономной области» на 2020 –                  2024 годы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области,  ОГБУ «КЦСО»</w:t>
            </w:r>
            <w:r/>
          </w:p>
          <w:p>
            <w:pPr>
              <w:pStyle w:val="876"/>
              <w:contextualSpacing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3.2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гражданам в поиске подходящей работы, а работодателям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необходимых работников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рганы службы занятости: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2020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2021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75%;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2022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45%;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2023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45%;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50%;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50%;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2026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55%;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2027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55%;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2028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60%;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2029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60%;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2030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60%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области от 08.06.2020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Плана мероприятий по снижению структурной безработицы и повышению экономической активности населения Еврейской автономной области на 2020 – 2025 годы»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 занятости населения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14637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Задача 4. Организация мероприятий по социальной адаптации граждан, нуждающихся в социальной поддержке</w:t>
            </w:r>
            <w:r/>
          </w:p>
        </w:tc>
      </w:tr>
      <w:tr>
        <w:trPr>
          <w:trHeight w:val="2395"/>
        </w:trPr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4.1</w:t>
            </w:r>
            <w:r/>
          </w:p>
        </w:tc>
        <w:tc>
          <w:tcPr>
            <w:tcW w:w="3405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незанятых пожилых граждан, в том числе их трудоустройство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дополнительного профессионального образования гражданами пожилого возраста, стремящимися возобновить трудовую деятельность, а также их трудоустройство – не  менее 20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трудовой занятости населения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обслуживание населения Еврейской автономной области» на 2020 –                 2024 годы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4.2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 с инвалидностью и детей с ограниченными возможностями здоровья техническими средствами реабилитации, не включенными в соответствующий федеральный перечень, в порядке, установленном правительством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проката технических средств реабилитации ежегодно не менее 100 семьям с детьми-инвалидами и детьми с ограниченными возможностями здоровья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социальной защиты населения правительства области,  ОГБУ «КЦСО»</w:t>
            </w:r>
            <w:r/>
          </w:p>
          <w:p>
            <w:pPr>
              <w:pStyle w:val="876"/>
              <w:contextualSpacing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обслуживание населения Еврейской автономной области» на 2020 –                   2024 годы</w:t>
            </w:r>
            <w:r/>
          </w:p>
          <w:p>
            <w:pPr>
              <w:pStyle w:val="876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области,  ОГБУ «КЦСО»</w:t>
            </w:r>
            <w:r/>
          </w:p>
          <w:p>
            <w:pPr>
              <w:pStyle w:val="876"/>
              <w:contextualSpacing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годы,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4.3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ежегодно не менее 40 детей-инвалидов и 60 детей, находящихся в трудной жизненной ситуации, посредством физической культуры и спорта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социальной защиты населения правительства области, областное государственное учреждение социального обслуживания «Социально-реабилитационный центр для 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них» (далее – ОГБУ СО «СРЦ»)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«Социальное обслуживание населения Еврейской автономной области» на 2020 –                  2024 годы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области, ОГБУ СО «СРЦ»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4.4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социально значимых мероприятий (День семьи, День защиты детей, День матери)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ежегодно не менее 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детей, находящихся в социально опасном положении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color w:val="auto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социальной защиты населения правительства Еврейской автономной области, ОГБУ СО «СРЦ»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обслуживание населения Еврейской автономной области» на 2020 –                  2024 годы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области, ОГБУ СО «СРЦ»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области «Развитие системы социального обслуживания населения Еврейской автономной области»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4.5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предоставление технических средств реабилитации гражданам, испытывающим трудности в передвижении, в пунктах проката, созданных при ОГБУ «КЦСО»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пунктов проката современными средствами и предметами ухода за пожилыми людьми, приобретение не менее 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технических средств реабилитации в год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социальной защиты населения правительства области,  ОГБУ «КЦСО»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«Доступная среда в Еврейской автономной области» на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годы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области,  ОГБУ «КЦСО»</w:t>
            </w:r>
            <w:r/>
          </w:p>
          <w:p>
            <w:pPr>
              <w:pStyle w:val="876"/>
              <w:contextualSpacing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«Доступная среда в Еврейской автономной области» на 2021 –                  2027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«Доступная среда в Еврейской автономной области»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4.6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Санаторное оздоровление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 человек ежегодно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здравоохранения правительства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«Здравоохранение в Еврейской автономной области» на 2016 –                   2022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«Здравоохранение в Еврейской автономной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области» на 2022 – 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здравоохранения правительства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4.7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физкультурных и спортивных мероприятий для всех категорий и групп населения, в том числе детей и учащейся молодежи (студентов), граждан средней и старшей возрастных групп, а также инвалидов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в возрасте от 3 до 79 лет до 32,2 % к 2022 году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 и спорту правительства области,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«Центр спортивной подготовки» (далее – ОГБУ «Центр спортивной подготовки»)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Еврейской автономной области»               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/>
          </w:p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Еврейской автономной области» на 2021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физической культуре и спорту правительства области,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«Центр спортивной подготовки»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4.8 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спортсменов области на соревнования межрегионального и всероссийского уровней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в возрасте от 3 до 79 лет до 32,2% к 2022 году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2020 год</w:t>
            </w:r>
            <w:r>
              <w:rPr>
                <w:color w:val="auto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 и спорту правительства области,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«Центр спортивной подготовки»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Еврейской автономной области»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</w:t>
            </w:r>
            <w:r/>
          </w:p>
          <w:p>
            <w:pPr>
              <w:pStyle w:val="876"/>
              <w:jc w:val="lef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Еврейской автономной области» на 2021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физической культуре и спорту правительства области,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«Центр спортивной подготовки»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4.9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популя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ризацию физкультурных, спортивных мероприятий, массовых спортивных акций и Всероссийского физкультурно-спортивного комплекса «Готов к труду и обороне», и вовлечение всех категорий и групп населения в систематические занятия физической культурой и спортом  </w:t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в возрасте от 3 до 79 лет до 32,2 % к 2022 году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 и спорту правительства области,</w:t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«Центр спортивной 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Еврейской автономной области»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/>
          </w:p>
          <w:p>
            <w:pPr>
              <w:pStyle w:val="876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Еврейской автономной области» на 2021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физической культуре и спорту правительства области,</w:t>
            </w:r>
            <w:r/>
          </w:p>
          <w:p>
            <w:pPr>
              <w:pStyle w:val="876"/>
              <w:contextualSpacing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«Центр спортивной подготовки»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4.10</w:t>
            </w:r>
            <w:r/>
          </w:p>
        </w:tc>
        <w:tc>
          <w:tcPr>
            <w:tcW w:w="3405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отдыха, оздоровления и занятости детей школьного возраста,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детей, находящихся в трудной жизненной ситуации, в загородных стационарных оздоровительных лагерях и лагерях, организованных областными государственными организациями дополнительного образования детей, за счет средств областного и федерального бюджетов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организованными формами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детей школьного возраста, а также детей-сирот и детей, оставшихся без попечения родителей, в загородных стационарных оздоровительных лагерях и лагерях, организованных областными государственными организациями дополнительного образования детей,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1260 человек ежегодно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</w:t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образования области</w:t>
            </w:r>
            <w:r/>
          </w:p>
        </w:tc>
        <w:tc>
          <w:tcPr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Еврейской автономной области» на 2018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706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5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77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–         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годы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2390" w:type="dxa"/>
            <w:vAlign w:val="top"/>
            <w:textDirection w:val="lrTb"/>
            <w:noWrap w:val="false"/>
          </w:tcPr>
          <w:p>
            <w:pPr>
              <w:pStyle w:val="876"/>
              <w:contextualSpacing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образования области</w:t>
            </w:r>
            <w:r/>
          </w:p>
        </w:tc>
        <w:tc>
          <w:tcPr>
            <w:tcW w:w="311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  <w:sectPr>
          <w:footnotePr/>
          <w:endnotePr/>
          <w:type w:val="nextPage"/>
          <w:pgSz w:w="16840" w:h="11907" w:orient="landscape"/>
          <w:pgMar w:top="1701" w:right="1134" w:bottom="851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center"/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40</w:t>
      </w:r>
      <w:r>
        <w:rPr>
          <w:rFonts w:ascii="Times New Roman" w:hAnsi="Times New Roman" w:cs="Times New Roman"/>
          <w:bCs/>
          <w:sz w:val="22"/>
          <w:szCs w:val="22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1.2.5. Дополнить разделом 4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Методика оценки эффективности реализации Плана мероприятий» следующего содержания:</w:t>
      </w:r>
      <w:r>
        <w:rPr>
          <w:rFonts w:ascii="Times New Roman" w:hAnsi="Times New Roman" w:cs="Times New Roman"/>
          <w:color w:val="ff0000"/>
          <w:sz w:val="28"/>
          <w:szCs w:val="28"/>
          <w:highlight w:val="none"/>
        </w:rPr>
      </w:r>
      <w:r/>
    </w:p>
    <w:p>
      <w:pPr>
        <w:ind w:firstLine="709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«Раздел 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Методика оценки эффективности реализации Плана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Проведение оценки эффективности реализации Плана Мероприятий включает: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contextualSpacing/>
        <w:ind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оценку соответствия фактического значения показ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ателя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Численность населения с денежными доходами ниже величины прожиточного минимума»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целевому значению показателя «Уровень бедности», отраженному в составе Единого плана по достижению национальных целей развития Российской Федерации на период до 2024 года и на плановый период до 2030 года (далее – оценка фактического значения показателя «Уровень бедности»);</w:t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оценку достижения плановых значений целевых показателей (индикаторов)  Плана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оценку исполнения мероприятий, включенных в План мероприятий;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расчет интегрального показателя эффективности реализации Плана мероприятий.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оценка эффективности реализации Плана 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один раз в год по итогам календарного года и представляется в Министерство труда и социальной защиты Российской Федерации не позднее 01 июня, следующего за отчетным годом.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Оценка фактического значения показателя «Уровень бедности»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ОУ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 xml:space="preserve">рп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= - ((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УБ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  <w:vertAlign w:val="subscript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 – УБ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  <w:vertAlign w:val="subscript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)/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УБ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100%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center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ОУ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 xml:space="preserve">рп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оценка соответствия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фактического значения показателя «Уровень бедности»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 отчетный период;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УБ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  <w:vertAlign w:val="subscript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фактическое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значение показателя «Уровень бедности»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 отчетный период;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УБ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целевое значение показателя «Уровень бедности», отраженное в составе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Единого плана по достижению национальных целей развития Российской Федерации на период до 2024 года и на плановый период                     до 2030 года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Оценка достижения плановых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значений целевых показателей (индикаторов) Плана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  <w:tab/>
        <w:tab/>
        <w:t xml:space="preserve"> ОПП =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∑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i/m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ОПП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– общая оценка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достижения плановых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значений целевых показателей (индикаторов) Плана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степень достижения планового значения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целевого показателя (индикатора) Плана мероприятий;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= (ЗП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ru-RU"/>
        </w:rPr>
        <w:t xml:space="preserve">,факт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/ЗП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ru-RU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) х 100%, если целевой тенденцией является увеличение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ого  целевого показателя Плана мероприятий;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= (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ЗП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ru-RU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/ЗП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ru-RU"/>
        </w:rPr>
        <w:t xml:space="preserve">,факт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) х 100%, если целевой тенденцией является уменьшение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ого  целевого показателя Плана мероприятий,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708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ЗП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ru-RU"/>
        </w:rPr>
        <w:t xml:space="preserve">,факт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  <w:lang w:val="ru-RU"/>
        </w:rPr>
        <w:t xml:space="preserve">– фактическое значение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ого  целевого показателя Плана </w:t>
        <w:tab/>
        <w:t xml:space="preserve">мероприятий;</w:t>
      </w:r>
      <w:r/>
      <w:r>
        <w:rPr>
          <w:rFonts w:ascii="Times New Roman" w:hAnsi="Times New Roman" w:cs="Times New Roman"/>
          <w:sz w:val="28"/>
          <w:szCs w:val="28"/>
          <w:highlight w:val="none"/>
          <w:vertAlign w:val="baseli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  <w:lang w:val="ru-RU"/>
        </w:rPr>
      </w:r>
    </w:p>
    <w:p>
      <w:pPr>
        <w:contextualSpacing/>
        <w:ind w:left="708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ЗП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  <w:lang w:val="ru-RU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– плановое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  <w:lang w:val="ru-RU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ого  целевого показателя Плана </w:t>
        <w:tab/>
        <w:t xml:space="preserve">мероприятий;</w:t>
      </w:r>
      <w:r/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– количество целевых показателей (индикаторов).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Если степень достижения планового значения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ого целевого показателя Плана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равна или превышает 100%, значение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принимается равным «1».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Если степень достижения планового значения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i-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ого целевого показателя Плана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превышает 100%, значение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принимается равным «0».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Оценка исполнения мероприятий, включенных в План мероприятий,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contextualSpacing/>
        <w:ind w:left="0" w:firstLine="708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ОРМ =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∑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i/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ОРМ – общая оценка эффективности реализации мероприятий плана мероприятий;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– оценка исполнения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 мероприятия Плана мероприятий;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k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– количество мероприятий, включенных в План мероприятий в отчетном периоде.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случае, если фактические результаты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 мероприятия Плана мероприятий соответствуют запланированным результатам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 мероприятия Плана мероприятий</w:t>
      </w:r>
      <w:r/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значение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принимается равным «1».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случае, если фактические результаты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 мероприятия Плана мероприятий соответствуют запланированным результатам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 мероприятия Плана мероприятий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либо имеется обоснование недостижения ожидаемых результатов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 мероприятия</w:t>
      </w:r>
      <w:r/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Плана мероприятий, значение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принимается равным «1».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случае, если фактические результаты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 мероприятия Плана мероприятий не соответствуют запланированным результатам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 мероприятия Плана мероприятий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то при отсутствии обоснования недостижения ожидаемых результатов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-ого мероприятия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Плана мероприятий, значение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принимается равным «0».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Расчет интегрального показателя эффективности реализации Плана мероприятий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определяется по следующей формуле:</w:t>
      </w:r>
      <w:r/>
    </w:p>
    <w:p>
      <w:pPr>
        <w:contextualSpacing/>
        <w:ind w:left="0" w:firstLine="708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ОРП = 0,5 х ОПП + 0,5 х ОРМ,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ОРП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интегральный показатель эффективности реализации Плана мероприятий;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ОПП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– общая оценка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достижения плановых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значений целевых показателей (индикаторов) Плана мероприятий</w:t>
      </w:r>
      <w:r/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ОРМ – общая оценка эффективности реализации мероприятий плана мероприятий</w:t>
      </w:r>
      <w:r/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Положительным результатом реализации Плана мероприятий» считается достижение значений целевых показателей (индикаторов) Плана мероприятий или улучшение фактических значений над значением целевого показателя (индикатора).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Мониторинг реализации Плана мероприятий осуществляется ежеквартально, по результатам мониторинга формируются отчеты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 достижении значений плановых показателей и о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реализации запланированных мероприятий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Указанные отчеты размещаются в программно-информационном комплексе Министерства труда и социальной защиты Российской Федерации (далее – ПИК Минтруда) не позднее 25 числа месяца, следующего за отчетным кварталом.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contextualSpacing/>
        <w:ind w:left="0" w:firstLine="708"/>
        <w:jc w:val="both"/>
        <w:widowControl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Отчеты за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квартал календарного года размещаются в ПИК Минтруда не позднее 30 января, следующего за отчетным годом.».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со дня 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области</w:t>
        <w:tab/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Р.Э. Гольдштейн</w:t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76"/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sectPr>
      <w:footnotePr/>
      <w:endnotePr/>
      <w:type w:val="nextPage"/>
      <w:pgSz w:w="11907" w:h="16840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fldSimple w:instr="PAGE \* MERGEFORMAT">
      <w:r>
        <w:t xml:space="preserve">1</w:t>
      </w:r>
    </w:fldSimple>
    <w:r/>
    <w:r/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/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876"/>
        <w:ind w:left="1069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78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94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610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82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9" w:hanging="180"/>
      </w:p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876"/>
        <w:ind w:left="1069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78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94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610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82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6"/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8" w:hanging="180"/>
      </w:pPr>
      <w:rPr>
        <w:rFonts w:cs="Times New Roman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876"/>
        <w:ind w:left="720" w:hanging="360"/>
      </w:pPr>
      <w:rPr>
        <w:rFonts w:ascii="Symbol" w:hAnsi="Symbol" w:eastAsia="Calibri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87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6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6"/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76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6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6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6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6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6"/>
        <w:ind w:left="2160" w:hanging="2160"/>
        <w:tabs>
          <w:tab w:val="num" w:pos="216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6"/>
    <w:next w:val="876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6"/>
    <w:next w:val="876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6"/>
    <w:next w:val="876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6"/>
    <w:next w:val="876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6"/>
    <w:next w:val="876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877">
    <w:name w:val="Заголовок 1"/>
    <w:basedOn w:val="876"/>
    <w:next w:val="877"/>
    <w:link w:val="882"/>
    <w:qFormat/>
    <w:pPr>
      <w:spacing w:before="100" w:beforeAutospacing="1" w:after="100" w:afterAutospacing="1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878">
    <w:name w:val="Заголовок 3"/>
    <w:basedOn w:val="876"/>
    <w:next w:val="878"/>
    <w:link w:val="883"/>
    <w:qFormat/>
    <w:pPr>
      <w:spacing w:before="100" w:beforeAutospacing="1" w:after="100" w:afterAutospacing="1"/>
      <w:widowControl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879">
    <w:name w:val="Основной шрифт абзаца"/>
    <w:next w:val="879"/>
    <w:link w:val="876"/>
    <w:semiHidden/>
  </w:style>
  <w:style w:type="table" w:styleId="880">
    <w:name w:val="Обычная таблица"/>
    <w:next w:val="880"/>
    <w:link w:val="876"/>
    <w:semiHidden/>
    <w:tblPr/>
  </w:style>
  <w:style w:type="numbering" w:styleId="881">
    <w:name w:val="Нет списка"/>
    <w:next w:val="881"/>
    <w:link w:val="876"/>
    <w:semiHidden/>
  </w:style>
  <w:style w:type="character" w:styleId="882">
    <w:name w:val="Заголовок 1 Знак"/>
    <w:next w:val="882"/>
    <w:link w:val="877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83">
    <w:name w:val="Заголовок 3 Знак"/>
    <w:next w:val="883"/>
    <w:link w:val="878"/>
    <w:rPr>
      <w:rFonts w:ascii="Times New Roman" w:hAnsi="Times New Roman" w:cs="Times New Roman"/>
      <w:b/>
      <w:bCs/>
      <w:sz w:val="27"/>
      <w:szCs w:val="27"/>
      <w:lang w:val="en-US" w:eastAsia="ru-RU"/>
    </w:rPr>
  </w:style>
  <w:style w:type="paragraph" w:styleId="884">
    <w:name w:val="Heading"/>
    <w:next w:val="884"/>
    <w:link w:val="876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885">
    <w:name w:val="Preformat"/>
    <w:next w:val="885"/>
    <w:link w:val="87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6">
    <w:name w:val="Гиперссылка"/>
    <w:next w:val="886"/>
    <w:link w:val="876"/>
    <w:rPr>
      <w:rFonts w:ascii="Arial" w:hAnsi="Arial" w:cs="Times New Roman"/>
      <w:i/>
      <w:sz w:val="18"/>
    </w:rPr>
  </w:style>
  <w:style w:type="paragraph" w:styleId="887">
    <w:name w:val="Context"/>
    <w:next w:val="887"/>
    <w:link w:val="876"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888">
    <w:name w:val="Верхний колонтитул"/>
    <w:basedOn w:val="876"/>
    <w:next w:val="888"/>
    <w:link w:val="889"/>
    <w:uiPriority w:val="99"/>
    <w:pPr>
      <w:tabs>
        <w:tab w:val="center" w:pos="4677" w:leader="none"/>
        <w:tab w:val="right" w:pos="9355" w:leader="none"/>
      </w:tabs>
    </w:pPr>
  </w:style>
  <w:style w:type="character" w:styleId="889">
    <w:name w:val="Верхний колонтитул Знак"/>
    <w:next w:val="889"/>
    <w:link w:val="888"/>
    <w:uiPriority w:val="99"/>
    <w:rPr>
      <w:rFonts w:ascii="Arial" w:hAnsi="Arial" w:cs="Arial"/>
      <w:sz w:val="18"/>
      <w:szCs w:val="18"/>
      <w:lang w:val="en-US" w:eastAsia="ru-RU"/>
    </w:rPr>
  </w:style>
  <w:style w:type="paragraph" w:styleId="890">
    <w:name w:val="Нижний колонтитул"/>
    <w:basedOn w:val="876"/>
    <w:next w:val="890"/>
    <w:link w:val="891"/>
    <w:pPr>
      <w:tabs>
        <w:tab w:val="center" w:pos="4677" w:leader="none"/>
        <w:tab w:val="right" w:pos="9355" w:leader="none"/>
      </w:tabs>
    </w:pPr>
  </w:style>
  <w:style w:type="character" w:styleId="891">
    <w:name w:val="Нижний колонтитул Знак"/>
    <w:next w:val="891"/>
    <w:link w:val="890"/>
    <w:rPr>
      <w:rFonts w:ascii="Arial" w:hAnsi="Arial" w:cs="Arial"/>
      <w:sz w:val="18"/>
      <w:szCs w:val="18"/>
      <w:lang w:val="en-US" w:eastAsia="ru-RU"/>
    </w:rPr>
  </w:style>
  <w:style w:type="paragraph" w:styleId="892">
    <w:name w:val="ConsPlusNonformat"/>
    <w:next w:val="892"/>
    <w:link w:val="87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3">
    <w:name w:val="ConsPlusNormal"/>
    <w:next w:val="893"/>
    <w:link w:val="876"/>
    <w:pPr>
      <w:widowControl w:val="off"/>
    </w:pPr>
    <w:rPr>
      <w:rFonts w:ascii="Times New Roman" w:hAnsi="Times New Roman"/>
      <w:sz w:val="24"/>
      <w:lang w:val="ru-RU" w:eastAsia="ru-RU" w:bidi="ar-SA"/>
    </w:rPr>
  </w:style>
  <w:style w:type="paragraph" w:styleId="894">
    <w:name w:val="ConsPlusTitle"/>
    <w:next w:val="894"/>
    <w:link w:val="876"/>
    <w:pPr>
      <w:widowControl w:val="off"/>
    </w:pPr>
    <w:rPr>
      <w:rFonts w:ascii="Times New Roman" w:hAnsi="Times New Roman"/>
      <w:b/>
      <w:sz w:val="24"/>
      <w:lang w:val="ru-RU" w:eastAsia="ru-RU" w:bidi="ar-SA"/>
    </w:rPr>
  </w:style>
  <w:style w:type="paragraph" w:styleId="895">
    <w:name w:val="Стандартный HTML"/>
    <w:basedOn w:val="876"/>
    <w:next w:val="895"/>
    <w:link w:val="896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eastAsia="zh-CN"/>
    </w:rPr>
  </w:style>
  <w:style w:type="character" w:styleId="896">
    <w:name w:val="Стандартный HTML Знак"/>
    <w:next w:val="896"/>
    <w:link w:val="895"/>
    <w:rPr>
      <w:rFonts w:ascii="Courier New" w:hAnsi="Courier New" w:eastAsia="SimSun" w:cs="Courier New"/>
      <w:sz w:val="20"/>
      <w:szCs w:val="20"/>
      <w:lang w:val="en-US" w:eastAsia="zh-CN"/>
    </w:rPr>
  </w:style>
  <w:style w:type="paragraph" w:styleId="897">
    <w:name w:val="Основной текст"/>
    <w:basedOn w:val="876"/>
    <w:next w:val="897"/>
    <w:link w:val="898"/>
    <w:semiHidden/>
    <w:pPr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898">
    <w:name w:val="Основной текст Знак"/>
    <w:next w:val="898"/>
    <w:link w:val="897"/>
    <w:semiHidden/>
    <w:rPr>
      <w:rFonts w:ascii="Times New Roman" w:hAnsi="Times New Roman" w:cs="Times New Roman"/>
      <w:sz w:val="24"/>
      <w:szCs w:val="24"/>
      <w:lang w:val="en-US" w:eastAsia="ru-RU"/>
    </w:rPr>
  </w:style>
  <w:style w:type="paragraph" w:styleId="899">
    <w:name w:val="Основной текст 3"/>
    <w:basedOn w:val="876"/>
    <w:next w:val="899"/>
    <w:link w:val="900"/>
    <w:semiHidden/>
    <w:pPr>
      <w:jc w:val="both"/>
      <w:widowControl/>
    </w:pPr>
    <w:rPr>
      <w:rFonts w:ascii="Times New Roman" w:hAnsi="Times New Roman" w:cs="Times New Roman"/>
      <w:sz w:val="28"/>
      <w:szCs w:val="28"/>
    </w:rPr>
  </w:style>
  <w:style w:type="character" w:styleId="900">
    <w:name w:val="Основной текст 3 Знак"/>
    <w:next w:val="900"/>
    <w:link w:val="899"/>
    <w:semiHidden/>
    <w:rPr>
      <w:rFonts w:ascii="Times New Roman" w:hAnsi="Times New Roman" w:cs="Times New Roman"/>
      <w:sz w:val="28"/>
      <w:szCs w:val="28"/>
      <w:lang w:val="en-US" w:eastAsia="ru-RU"/>
    </w:rPr>
  </w:style>
  <w:style w:type="character" w:styleId="901">
    <w:name w:val="Номер страницы"/>
    <w:next w:val="901"/>
    <w:link w:val="876"/>
    <w:rPr>
      <w:rFonts w:cs="Times New Roman"/>
    </w:rPr>
  </w:style>
  <w:style w:type="paragraph" w:styleId="902">
    <w:name w:val="Текст выноски"/>
    <w:basedOn w:val="876"/>
    <w:next w:val="902"/>
    <w:link w:val="903"/>
    <w:semiHidden/>
    <w:pPr>
      <w:widowControl/>
    </w:pPr>
    <w:rPr>
      <w:rFonts w:ascii="Segoe UI" w:hAnsi="Segoe UI" w:cs="Segoe UI"/>
    </w:rPr>
  </w:style>
  <w:style w:type="character" w:styleId="903">
    <w:name w:val="Текст выноски Знак"/>
    <w:next w:val="903"/>
    <w:link w:val="902"/>
    <w:semiHidden/>
    <w:rPr>
      <w:rFonts w:ascii="Segoe UI" w:hAnsi="Segoe UI" w:cs="Segoe UI"/>
      <w:sz w:val="18"/>
      <w:szCs w:val="18"/>
      <w:lang w:val="en-US" w:eastAsia="ru-RU"/>
    </w:rPr>
  </w:style>
  <w:style w:type="paragraph" w:styleId="904">
    <w:name w:val="Обычный (веб)"/>
    <w:basedOn w:val="876"/>
    <w:next w:val="904"/>
    <w:link w:val="876"/>
    <w:semiHidden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05">
    <w:name w:val="List Paragraph"/>
    <w:basedOn w:val="876"/>
    <w:next w:val="905"/>
    <w:link w:val="913"/>
    <w:pPr>
      <w:contextualSpacing/>
      <w:ind w:left="720"/>
    </w:pPr>
  </w:style>
  <w:style w:type="paragraph" w:styleId="906">
    <w:name w:val="ConsPlusCell"/>
    <w:next w:val="906"/>
    <w:link w:val="87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7">
    <w:name w:val="ConsPlusDocList"/>
    <w:next w:val="907"/>
    <w:link w:val="876"/>
    <w:pPr>
      <w:widowControl w:val="off"/>
    </w:pPr>
    <w:rPr>
      <w:rFonts w:cs="Calibri"/>
      <w:sz w:val="22"/>
      <w:lang w:val="ru-RU" w:eastAsia="ru-RU" w:bidi="ar-SA"/>
    </w:rPr>
  </w:style>
  <w:style w:type="paragraph" w:styleId="908">
    <w:name w:val="ConsPlusTitlePage"/>
    <w:next w:val="908"/>
    <w:link w:val="876"/>
    <w:pPr>
      <w:widowControl w:val="off"/>
    </w:pPr>
    <w:rPr>
      <w:rFonts w:ascii="Tahoma" w:hAnsi="Tahoma" w:cs="Tahoma"/>
      <w:lang w:val="ru-RU" w:eastAsia="ru-RU" w:bidi="ar-SA"/>
    </w:rPr>
  </w:style>
  <w:style w:type="paragraph" w:styleId="909">
    <w:name w:val="ConsPlusJurTerm"/>
    <w:next w:val="909"/>
    <w:link w:val="876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910">
    <w:name w:val="ConsPlusTextList"/>
    <w:next w:val="910"/>
    <w:link w:val="876"/>
    <w:pPr>
      <w:widowControl w:val="off"/>
    </w:pPr>
    <w:rPr>
      <w:rFonts w:ascii="Arial" w:hAnsi="Arial" w:cs="Arial"/>
      <w:lang w:val="ru-RU" w:eastAsia="ru-RU" w:bidi="ar-SA"/>
    </w:rPr>
  </w:style>
  <w:style w:type="table" w:styleId="911">
    <w:name w:val="Сетка таблицы"/>
    <w:basedOn w:val="880"/>
    <w:next w:val="911"/>
    <w:link w:val="876"/>
    <w:uiPriority w:val="59"/>
    <w:pPr>
      <w:widowControl w:val="off"/>
    </w:pPr>
    <w:tblPr/>
  </w:style>
  <w:style w:type="character" w:styleId="912">
    <w:name w:val="apple-converted-space"/>
    <w:next w:val="912"/>
    <w:link w:val="876"/>
  </w:style>
  <w:style w:type="character" w:styleId="913">
    <w:name w:val="List Paragraph Char"/>
    <w:next w:val="913"/>
    <w:link w:val="905"/>
    <w:rPr>
      <w:rFonts w:ascii="Arial" w:hAnsi="Arial" w:eastAsia="Calibri" w:cs="Arial"/>
      <w:sz w:val="18"/>
      <w:szCs w:val="18"/>
      <w:lang w:val="ru-RU" w:eastAsia="ru-RU" w:bidi="ar-SA"/>
    </w:rPr>
  </w:style>
  <w:style w:type="character" w:styleId="914">
    <w:name w:val="Строгий"/>
    <w:next w:val="914"/>
    <w:link w:val="876"/>
    <w:qFormat/>
    <w:rPr>
      <w:rFonts w:cs="Times New Roman"/>
      <w:b/>
      <w:bCs/>
    </w:rPr>
  </w:style>
  <w:style w:type="character" w:styleId="915">
    <w:name w:val="Основной текст_"/>
    <w:next w:val="915"/>
    <w:link w:val="916"/>
    <w:rPr>
      <w:spacing w:val="1"/>
      <w:sz w:val="25"/>
      <w:shd w:val="clear" w:color="auto" w:fill="ffffff"/>
      <w:lang w:bidi="ar-SA"/>
    </w:rPr>
  </w:style>
  <w:style w:type="paragraph" w:styleId="916">
    <w:name w:val="Основной текст1"/>
    <w:basedOn w:val="876"/>
    <w:next w:val="916"/>
    <w:link w:val="915"/>
    <w:pPr>
      <w:jc w:val="both"/>
      <w:spacing w:before="240" w:line="322" w:lineRule="exact"/>
      <w:shd w:val="clear" w:color="auto" w:fill="ffffff"/>
    </w:pPr>
    <w:rPr>
      <w:rFonts w:ascii="Times New Roman" w:hAnsi="Times New Roman" w:eastAsia="Times New Roman" w:cs="Times New Roman"/>
      <w:spacing w:val="1"/>
      <w:sz w:val="25"/>
      <w:szCs w:val="20"/>
      <w:shd w:val="clear" w:color="auto" w:fill="ffffff"/>
    </w:rPr>
  </w:style>
  <w:style w:type="table" w:styleId="917">
    <w:name w:val="Сетка таблицы1"/>
    <w:basedOn w:val="880"/>
    <w:next w:val="911"/>
    <w:link w:val="87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8">
    <w:name w:val="Сетка таблицы2"/>
    <w:basedOn w:val="880"/>
    <w:next w:val="911"/>
    <w:link w:val="87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19">
    <w:name w:val="Схема документа"/>
    <w:basedOn w:val="876"/>
    <w:next w:val="919"/>
    <w:link w:val="876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920">
    <w:name w:val="Абзац списка"/>
    <w:basedOn w:val="876"/>
    <w:next w:val="920"/>
    <w:link w:val="876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Галактионова Наталья Григорьевна</dc:creator>
  <cp:revision>94</cp:revision>
  <dcterms:created xsi:type="dcterms:W3CDTF">2020-08-27T04:59:00Z</dcterms:created>
  <dcterms:modified xsi:type="dcterms:W3CDTF">2023-03-20T05:29:28Z</dcterms:modified>
  <cp:version>917504</cp:version>
</cp:coreProperties>
</file>